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BF28" w14:textId="23D3C5CC" w:rsidR="002E2585" w:rsidRPr="00165D8C" w:rsidRDefault="00907728" w:rsidP="0028250C">
      <w:pPr>
        <w:rPr>
          <w:rFonts w:ascii="Aptos" w:hAnsi="Aptos"/>
        </w:rPr>
      </w:pPr>
      <w:r w:rsidRPr="00165D8C">
        <w:rPr>
          <w:rFonts w:ascii="Aptos" w:hAnsi="Aptos"/>
          <w:b/>
          <w:bCs/>
          <w:noProof/>
          <w:sz w:val="32"/>
          <w:szCs w:val="32"/>
          <w:lang w:eastAsia="en-AU"/>
        </w:rPr>
        <mc:AlternateContent>
          <mc:Choice Requires="wpg">
            <w:drawing>
              <wp:anchor distT="0" distB="0" distL="114300" distR="114300" simplePos="0" relativeHeight="251658240" behindDoc="0" locked="0" layoutInCell="1" allowOverlap="1" wp14:anchorId="2C426288" wp14:editId="6A7E22A7">
                <wp:simplePos x="0" y="0"/>
                <wp:positionH relativeFrom="margin">
                  <wp:posOffset>-101600</wp:posOffset>
                </wp:positionH>
                <wp:positionV relativeFrom="paragraph">
                  <wp:posOffset>0</wp:posOffset>
                </wp:positionV>
                <wp:extent cx="5092700" cy="933450"/>
                <wp:effectExtent l="0" t="0" r="0" b="0"/>
                <wp:wrapNone/>
                <wp:docPr id="11"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0" cy="933450"/>
                          <a:chOff x="441" y="544"/>
                          <a:chExt cx="5824" cy="1048"/>
                        </a:xfrm>
                      </wpg:grpSpPr>
                      <pic:pic xmlns:pic="http://schemas.openxmlformats.org/drawingml/2006/picture">
                        <pic:nvPicPr>
                          <pic:cNvPr id="12"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516"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5949" w:type="dxa"/>
                                <w:tblLayout w:type="fixed"/>
                                <w:tblLook w:val="0020" w:firstRow="1" w:lastRow="0" w:firstColumn="0" w:lastColumn="0" w:noHBand="0" w:noVBand="0"/>
                              </w:tblPr>
                              <w:tblGrid>
                                <w:gridCol w:w="5949"/>
                              </w:tblGrid>
                              <w:tr w:rsidR="00907728" w:rsidRPr="00E6260A" w14:paraId="55ABA4BD" w14:textId="77777777" w:rsidTr="000570F3">
                                <w:trPr>
                                  <w:trHeight w:hRule="exact" w:val="340"/>
                                </w:trPr>
                                <w:tc>
                                  <w:tcPr>
                                    <w:tcW w:w="5949" w:type="dxa"/>
                                  </w:tcPr>
                                  <w:p w14:paraId="5FAB9CCF" w14:textId="77777777" w:rsidR="00907728" w:rsidRPr="00607FB7" w:rsidRDefault="00907728">
                                    <w:pPr>
                                      <w:rPr>
                                        <w:rFonts w:ascii="Aptos" w:hAnsi="Aptos" w:cs="Times New Roman"/>
                                        <w:bCs/>
                                        <w:i/>
                                        <w:sz w:val="24"/>
                                        <w:szCs w:val="24"/>
                                      </w:rPr>
                                    </w:pPr>
                                    <w:r w:rsidRPr="00607FB7">
                                      <w:rPr>
                                        <w:rFonts w:ascii="Aptos" w:hAnsi="Aptos" w:cs="Times New Roman"/>
                                        <w:sz w:val="24"/>
                                        <w:szCs w:val="24"/>
                                      </w:rPr>
                                      <w:t>Australian Government</w:t>
                                    </w:r>
                                  </w:p>
                                </w:tc>
                              </w:tr>
                              <w:tr w:rsidR="00907728" w:rsidRPr="00573115" w14:paraId="6DF8FA38" w14:textId="77777777" w:rsidTr="000570F3">
                                <w:trPr>
                                  <w:trHeight w:hRule="exact" w:val="376"/>
                                </w:trPr>
                                <w:tc>
                                  <w:tcPr>
                                    <w:tcW w:w="5949" w:type="dxa"/>
                                  </w:tcPr>
                                  <w:p w14:paraId="34DBC3F2" w14:textId="6B3EDC94" w:rsidR="00907728" w:rsidRPr="00607FB7" w:rsidRDefault="00907728">
                                    <w:pPr>
                                      <w:rPr>
                                        <w:rFonts w:ascii="Aptos" w:hAnsi="Aptos" w:cs="Times New Roman"/>
                                        <w:bCs/>
                                        <w:i/>
                                        <w:sz w:val="24"/>
                                        <w:szCs w:val="24"/>
                                      </w:rPr>
                                    </w:pPr>
                                    <w:r w:rsidRPr="00607FB7">
                                      <w:rPr>
                                        <w:rFonts w:ascii="Aptos" w:hAnsi="Aptos" w:cs="Times New Roman"/>
                                        <w:sz w:val="24"/>
                                        <w:szCs w:val="24"/>
                                      </w:rPr>
                                      <w:t xml:space="preserve">Department of Employment and Workplace </w:t>
                                    </w:r>
                                    <w:r w:rsidR="00E4243D" w:rsidRPr="00607FB7">
                                      <w:rPr>
                                        <w:rFonts w:ascii="Aptos" w:hAnsi="Aptos" w:cs="Times New Roman"/>
                                        <w:sz w:val="24"/>
                                        <w:szCs w:val="24"/>
                                      </w:rPr>
                                      <w:t>R</w:t>
                                    </w:r>
                                    <w:r w:rsidRPr="00607FB7">
                                      <w:rPr>
                                        <w:rFonts w:ascii="Aptos" w:hAnsi="Aptos" w:cs="Times New Roman"/>
                                        <w:sz w:val="24"/>
                                        <w:szCs w:val="24"/>
                                      </w:rPr>
                                      <w:t xml:space="preserve">elations </w:t>
                                    </w:r>
                                  </w:p>
                                </w:tc>
                              </w:tr>
                              <w:tr w:rsidR="00907728" w:rsidRPr="00016586" w14:paraId="33198A0B" w14:textId="77777777" w:rsidTr="000570F3">
                                <w:trPr>
                                  <w:trHeight w:hRule="exact" w:val="376"/>
                                </w:trPr>
                                <w:tc>
                                  <w:tcPr>
                                    <w:tcW w:w="5949" w:type="dxa"/>
                                  </w:tcPr>
                                  <w:p w14:paraId="03A43859" w14:textId="65A10E6D" w:rsidR="00907728" w:rsidRPr="00607FB7" w:rsidRDefault="00907728">
                                    <w:pPr>
                                      <w:rPr>
                                        <w:rFonts w:ascii="Aptos" w:hAnsi="Aptos" w:cs="Times New Roman"/>
                                        <w:bCs/>
                                        <w:i/>
                                        <w:sz w:val="24"/>
                                        <w:szCs w:val="24"/>
                                      </w:rPr>
                                    </w:pPr>
                                    <w:r w:rsidRPr="00607FB7">
                                      <w:rPr>
                                        <w:rFonts w:ascii="Aptos" w:hAnsi="Aptos" w:cs="Times New Roman"/>
                                        <w:sz w:val="24"/>
                                        <w:szCs w:val="24"/>
                                      </w:rPr>
                                      <w:t>Trades Recognition Australia</w:t>
                                    </w:r>
                                  </w:p>
                                  <w:p w14:paraId="4E126780" w14:textId="77777777" w:rsidR="00907728" w:rsidRPr="00607FB7" w:rsidRDefault="00907728">
                                    <w:pPr>
                                      <w:rPr>
                                        <w:rFonts w:ascii="Aptos" w:hAnsi="Aptos" w:cs="Times New Roman"/>
                                        <w:sz w:val="24"/>
                                        <w:szCs w:val="24"/>
                                      </w:rPr>
                                    </w:pPr>
                                  </w:p>
                                </w:tc>
                              </w:tr>
                            </w:tbl>
                            <w:p w14:paraId="75D19B17" w14:textId="77777777" w:rsidR="00907728" w:rsidRDefault="00907728" w:rsidP="009077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26288" id="Group 12" o:spid="_x0000_s1026" alt="&quot;&quot;" style="position:absolute;margin-left:-8pt;margin-top:0;width:401pt;height:73.5pt;z-index:251658240;mso-position-horizontal-relative:margin" coordorigin="441,544" coordsize="5824,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14" o:spid="_x0000_s1028" type="#_x0000_t202" style="position:absolute;left:1749;top:692;width:451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5949" w:type="dxa"/>
                          <w:tblLayout w:type="fixed"/>
                          <w:tblLook w:val="0020" w:firstRow="1" w:lastRow="0" w:firstColumn="0" w:lastColumn="0" w:noHBand="0" w:noVBand="0"/>
                        </w:tblPr>
                        <w:tblGrid>
                          <w:gridCol w:w="5949"/>
                        </w:tblGrid>
                        <w:tr w:rsidR="00907728" w:rsidRPr="00E6260A" w14:paraId="55ABA4BD" w14:textId="77777777" w:rsidTr="000570F3">
                          <w:trPr>
                            <w:trHeight w:hRule="exact" w:val="340"/>
                          </w:trPr>
                          <w:tc>
                            <w:tcPr>
                              <w:tcW w:w="5949" w:type="dxa"/>
                            </w:tcPr>
                            <w:p w14:paraId="5FAB9CCF" w14:textId="77777777" w:rsidR="00907728" w:rsidRPr="00607FB7" w:rsidRDefault="00907728">
                              <w:pPr>
                                <w:rPr>
                                  <w:rFonts w:ascii="Aptos" w:hAnsi="Aptos" w:cs="Times New Roman"/>
                                  <w:bCs/>
                                  <w:i/>
                                  <w:sz w:val="24"/>
                                  <w:szCs w:val="24"/>
                                </w:rPr>
                              </w:pPr>
                              <w:r w:rsidRPr="00607FB7">
                                <w:rPr>
                                  <w:rFonts w:ascii="Aptos" w:hAnsi="Aptos" w:cs="Times New Roman"/>
                                  <w:sz w:val="24"/>
                                  <w:szCs w:val="24"/>
                                </w:rPr>
                                <w:t>Australian Government</w:t>
                              </w:r>
                            </w:p>
                          </w:tc>
                        </w:tr>
                        <w:tr w:rsidR="00907728" w:rsidRPr="00573115" w14:paraId="6DF8FA38" w14:textId="77777777" w:rsidTr="000570F3">
                          <w:trPr>
                            <w:trHeight w:hRule="exact" w:val="376"/>
                          </w:trPr>
                          <w:tc>
                            <w:tcPr>
                              <w:tcW w:w="5949" w:type="dxa"/>
                            </w:tcPr>
                            <w:p w14:paraId="34DBC3F2" w14:textId="6B3EDC94" w:rsidR="00907728" w:rsidRPr="00607FB7" w:rsidRDefault="00907728">
                              <w:pPr>
                                <w:rPr>
                                  <w:rFonts w:ascii="Aptos" w:hAnsi="Aptos" w:cs="Times New Roman"/>
                                  <w:bCs/>
                                  <w:i/>
                                  <w:sz w:val="24"/>
                                  <w:szCs w:val="24"/>
                                </w:rPr>
                              </w:pPr>
                              <w:r w:rsidRPr="00607FB7">
                                <w:rPr>
                                  <w:rFonts w:ascii="Aptos" w:hAnsi="Aptos" w:cs="Times New Roman"/>
                                  <w:sz w:val="24"/>
                                  <w:szCs w:val="24"/>
                                </w:rPr>
                                <w:t xml:space="preserve">Department of Employment and Workplace </w:t>
                              </w:r>
                              <w:r w:rsidR="00E4243D" w:rsidRPr="00607FB7">
                                <w:rPr>
                                  <w:rFonts w:ascii="Aptos" w:hAnsi="Aptos" w:cs="Times New Roman"/>
                                  <w:sz w:val="24"/>
                                  <w:szCs w:val="24"/>
                                </w:rPr>
                                <w:t>R</w:t>
                              </w:r>
                              <w:r w:rsidRPr="00607FB7">
                                <w:rPr>
                                  <w:rFonts w:ascii="Aptos" w:hAnsi="Aptos" w:cs="Times New Roman"/>
                                  <w:sz w:val="24"/>
                                  <w:szCs w:val="24"/>
                                </w:rPr>
                                <w:t xml:space="preserve">elations </w:t>
                              </w:r>
                            </w:p>
                          </w:tc>
                        </w:tr>
                        <w:tr w:rsidR="00907728" w:rsidRPr="00016586" w14:paraId="33198A0B" w14:textId="77777777" w:rsidTr="000570F3">
                          <w:trPr>
                            <w:trHeight w:hRule="exact" w:val="376"/>
                          </w:trPr>
                          <w:tc>
                            <w:tcPr>
                              <w:tcW w:w="5949" w:type="dxa"/>
                            </w:tcPr>
                            <w:p w14:paraId="03A43859" w14:textId="65A10E6D" w:rsidR="00907728" w:rsidRPr="00607FB7" w:rsidRDefault="00907728">
                              <w:pPr>
                                <w:rPr>
                                  <w:rFonts w:ascii="Aptos" w:hAnsi="Aptos" w:cs="Times New Roman"/>
                                  <w:bCs/>
                                  <w:i/>
                                  <w:sz w:val="24"/>
                                  <w:szCs w:val="24"/>
                                </w:rPr>
                              </w:pPr>
                              <w:r w:rsidRPr="00607FB7">
                                <w:rPr>
                                  <w:rFonts w:ascii="Aptos" w:hAnsi="Aptos" w:cs="Times New Roman"/>
                                  <w:sz w:val="24"/>
                                  <w:szCs w:val="24"/>
                                </w:rPr>
                                <w:t>Trades Recognition Australia</w:t>
                              </w:r>
                            </w:p>
                            <w:p w14:paraId="4E126780" w14:textId="77777777" w:rsidR="00907728" w:rsidRPr="00607FB7" w:rsidRDefault="00907728">
                              <w:pPr>
                                <w:rPr>
                                  <w:rFonts w:ascii="Aptos" w:hAnsi="Aptos" w:cs="Times New Roman"/>
                                  <w:sz w:val="24"/>
                                  <w:szCs w:val="24"/>
                                </w:rPr>
                              </w:pPr>
                            </w:p>
                          </w:tc>
                        </w:tr>
                      </w:tbl>
                      <w:p w14:paraId="75D19B17" w14:textId="77777777" w:rsidR="00907728" w:rsidRDefault="00907728" w:rsidP="00907728"/>
                    </w:txbxContent>
                  </v:textbox>
                </v:shape>
                <w10:wrap anchorx="margin"/>
              </v:group>
            </w:pict>
          </mc:Fallback>
        </mc:AlternateContent>
      </w:r>
    </w:p>
    <w:p w14:paraId="6D91BE79" w14:textId="77777777" w:rsidR="002E2585" w:rsidRPr="00165D8C" w:rsidRDefault="002E2585" w:rsidP="0028250C">
      <w:pPr>
        <w:rPr>
          <w:rFonts w:ascii="Aptos" w:hAnsi="Aptos"/>
        </w:rPr>
      </w:pPr>
    </w:p>
    <w:p w14:paraId="50044FDC" w14:textId="77777777" w:rsidR="002E2585" w:rsidRPr="00165D8C" w:rsidRDefault="002E2585" w:rsidP="0028250C">
      <w:pPr>
        <w:rPr>
          <w:rFonts w:ascii="Aptos" w:hAnsi="Aptos"/>
        </w:rPr>
      </w:pPr>
    </w:p>
    <w:p w14:paraId="7C944CBB" w14:textId="77777777" w:rsidR="00907728" w:rsidRPr="00165D8C" w:rsidRDefault="00907728" w:rsidP="00DA522E">
      <w:pPr>
        <w:pStyle w:val="Title"/>
        <w:jc w:val="center"/>
        <w:rPr>
          <w:rFonts w:ascii="Aptos" w:hAnsi="Aptos"/>
        </w:rPr>
      </w:pPr>
    </w:p>
    <w:p w14:paraId="50789E29" w14:textId="6FA08828" w:rsidR="002E2585" w:rsidRPr="009D4E32" w:rsidRDefault="002E2585" w:rsidP="000570F3">
      <w:pPr>
        <w:pStyle w:val="Title"/>
        <w:tabs>
          <w:tab w:val="clear" w:pos="3325"/>
        </w:tabs>
        <w:jc w:val="center"/>
        <w:rPr>
          <w:rFonts w:ascii="Aptos" w:hAnsi="Aptos"/>
          <w:color w:val="427A38"/>
          <w:kern w:val="0"/>
        </w:rPr>
      </w:pPr>
      <w:r w:rsidRPr="009D4E32">
        <w:rPr>
          <w:rFonts w:ascii="Aptos" w:hAnsi="Aptos"/>
          <w:color w:val="427A38"/>
          <w:kern w:val="0"/>
        </w:rPr>
        <w:t>COST RECOVERY IMPLEMENTATION STATEMENT</w:t>
      </w:r>
    </w:p>
    <w:p w14:paraId="781764F2" w14:textId="77777777" w:rsidR="002E2585" w:rsidRPr="00165D8C" w:rsidRDefault="002E2585" w:rsidP="0028250C">
      <w:pPr>
        <w:rPr>
          <w:rFonts w:ascii="Aptos" w:hAnsi="Aptos"/>
        </w:rPr>
      </w:pPr>
    </w:p>
    <w:p w14:paraId="3E5872AC" w14:textId="3488878F" w:rsidR="002E2585" w:rsidRPr="00165D8C" w:rsidRDefault="002E2585" w:rsidP="00DA522E">
      <w:pPr>
        <w:pStyle w:val="Title"/>
        <w:jc w:val="center"/>
        <w:rPr>
          <w:rFonts w:ascii="Aptos" w:hAnsi="Aptos"/>
        </w:rPr>
      </w:pPr>
      <w:r w:rsidRPr="00165D8C">
        <w:rPr>
          <w:rFonts w:ascii="Aptos" w:hAnsi="Aptos"/>
        </w:rPr>
        <w:t>Trades Recognition Australia</w:t>
      </w:r>
    </w:p>
    <w:p w14:paraId="74C5454C" w14:textId="77777777" w:rsidR="002E2585" w:rsidRPr="00165D8C" w:rsidRDefault="002E2585" w:rsidP="0028250C">
      <w:pPr>
        <w:rPr>
          <w:rFonts w:ascii="Aptos" w:hAnsi="Aptos"/>
        </w:rPr>
      </w:pPr>
    </w:p>
    <w:p w14:paraId="4D45A364" w14:textId="77777777" w:rsidR="002E2585" w:rsidRPr="00165D8C" w:rsidRDefault="002E2585" w:rsidP="00DA522E">
      <w:pPr>
        <w:jc w:val="center"/>
        <w:rPr>
          <w:rFonts w:ascii="Aptos" w:hAnsi="Aptos"/>
        </w:rPr>
      </w:pPr>
    </w:p>
    <w:p w14:paraId="40AA1D09" w14:textId="1B9AFEAC" w:rsidR="002E2585" w:rsidRPr="00165D8C" w:rsidRDefault="002E2585">
      <w:pPr>
        <w:jc w:val="center"/>
        <w:rPr>
          <w:rFonts w:ascii="Aptos" w:hAnsi="Aptos"/>
          <w:b/>
          <w:bCs/>
          <w:sz w:val="32"/>
          <w:szCs w:val="32"/>
        </w:rPr>
      </w:pPr>
      <w:r w:rsidRPr="00165D8C">
        <w:rPr>
          <w:rFonts w:ascii="Aptos" w:hAnsi="Aptos"/>
          <w:b/>
          <w:bCs/>
          <w:sz w:val="32"/>
          <w:szCs w:val="32"/>
        </w:rPr>
        <w:t>202</w:t>
      </w:r>
      <w:r w:rsidR="00CB2CC0">
        <w:rPr>
          <w:rFonts w:ascii="Aptos" w:hAnsi="Aptos"/>
          <w:b/>
          <w:bCs/>
          <w:sz w:val="32"/>
          <w:szCs w:val="32"/>
        </w:rPr>
        <w:t>5</w:t>
      </w:r>
      <w:r w:rsidRPr="00165D8C">
        <w:rPr>
          <w:rFonts w:ascii="Aptos" w:hAnsi="Aptos"/>
          <w:b/>
          <w:bCs/>
          <w:sz w:val="32"/>
          <w:szCs w:val="32"/>
        </w:rPr>
        <w:t>-2</w:t>
      </w:r>
      <w:r w:rsidR="00CB2CC0">
        <w:rPr>
          <w:rFonts w:ascii="Aptos" w:hAnsi="Aptos"/>
          <w:b/>
          <w:bCs/>
          <w:sz w:val="32"/>
          <w:szCs w:val="32"/>
        </w:rPr>
        <w:t>6</w:t>
      </w:r>
    </w:p>
    <w:p w14:paraId="777E7A80" w14:textId="21CEFC1F" w:rsidR="002E2585" w:rsidRPr="00165D8C" w:rsidRDefault="002E2585" w:rsidP="0028250C">
      <w:pPr>
        <w:rPr>
          <w:rFonts w:ascii="Aptos" w:hAnsi="Aptos"/>
        </w:rPr>
      </w:pPr>
    </w:p>
    <w:p w14:paraId="1CAAFFF0" w14:textId="77777777" w:rsidR="002E2585" w:rsidRPr="00165D8C" w:rsidRDefault="002E2585" w:rsidP="0028250C">
      <w:pPr>
        <w:rPr>
          <w:rFonts w:ascii="Aptos" w:hAnsi="Aptos"/>
        </w:rPr>
      </w:pPr>
    </w:p>
    <w:p w14:paraId="4FB09961" w14:textId="1E56EBF5" w:rsidR="002E2585" w:rsidRPr="00165D8C" w:rsidRDefault="002E2585" w:rsidP="00DA522E">
      <w:pPr>
        <w:pBdr>
          <w:top w:val="single" w:sz="4" w:space="1" w:color="auto"/>
          <w:left w:val="single" w:sz="4" w:space="4" w:color="auto"/>
          <w:bottom w:val="single" w:sz="4" w:space="1" w:color="auto"/>
          <w:right w:val="single" w:sz="4" w:space="4" w:color="auto"/>
        </w:pBdr>
        <w:rPr>
          <w:rFonts w:ascii="Aptos" w:hAnsi="Aptos"/>
        </w:rPr>
      </w:pPr>
      <w:r w:rsidRPr="00165D8C">
        <w:rPr>
          <w:rFonts w:ascii="Aptos" w:hAnsi="Aptos"/>
        </w:rPr>
        <w:t xml:space="preserve">Cost recovery involves government entities charging individuals or non-government organisations some or all of the efficient costs of a regulatory activity. This may include goods, services or regulation, or a combination of them. The Australian Government Charging Framework, which incorporates the Cost Recovery </w:t>
      </w:r>
      <w:r w:rsidR="00397C30">
        <w:rPr>
          <w:rFonts w:ascii="Aptos" w:hAnsi="Aptos"/>
        </w:rPr>
        <w:t>Policy</w:t>
      </w:r>
      <w:r w:rsidRPr="00165D8C">
        <w:rPr>
          <w:rFonts w:ascii="Aptos" w:hAnsi="Aptos"/>
        </w:rPr>
        <w:t xml:space="preserve"> (the CR</w:t>
      </w:r>
      <w:r w:rsidR="00397C30">
        <w:rPr>
          <w:rFonts w:ascii="Aptos" w:hAnsi="Aptos"/>
        </w:rPr>
        <w:t>P</w:t>
      </w:r>
      <w:r w:rsidRPr="00165D8C">
        <w:rPr>
          <w:rFonts w:ascii="Aptos" w:hAnsi="Aptos"/>
        </w:rPr>
        <w:t>s)</w:t>
      </w:r>
      <w:r w:rsidRPr="00165D8C">
        <w:rPr>
          <w:rFonts w:ascii="Aptos" w:eastAsia="Times New Roman" w:hAnsi="Aptos" w:cs="Times New Roman"/>
          <w:vertAlign w:val="superscript"/>
        </w:rPr>
        <w:footnoteReference w:id="2"/>
      </w:r>
      <w:r w:rsidRPr="00165D8C">
        <w:rPr>
          <w:rFonts w:ascii="Aptos" w:hAnsi="Aptos"/>
        </w:rPr>
        <w:t>, sets out the framework under which government entities design, implement and review regulatory charging activities.</w:t>
      </w:r>
    </w:p>
    <w:p w14:paraId="6775FD61" w14:textId="77777777" w:rsidR="00BE3107" w:rsidRPr="00165D8C" w:rsidRDefault="00BE3107" w:rsidP="0028250C">
      <w:pPr>
        <w:rPr>
          <w:rFonts w:ascii="Aptos" w:hAnsi="Aptos"/>
        </w:rPr>
        <w:sectPr w:rsidR="00BE3107" w:rsidRPr="00165D8C">
          <w:headerReference w:type="default" r:id="rId13"/>
          <w:footerReference w:type="default" r:id="rId14"/>
          <w:pgSz w:w="11906" w:h="16838"/>
          <w:pgMar w:top="1440" w:right="1440" w:bottom="1440" w:left="1440" w:header="708" w:footer="708" w:gutter="0"/>
          <w:cols w:space="708"/>
          <w:docGrid w:linePitch="360"/>
        </w:sectPr>
      </w:pPr>
    </w:p>
    <w:bookmarkStart w:id="0" w:name="_Toc197608583" w:displacedByCustomXml="next"/>
    <w:sdt>
      <w:sdtPr>
        <w:rPr>
          <w:rFonts w:asciiTheme="minorHAnsi" w:eastAsiaTheme="minorEastAsia" w:hAnsiTheme="minorHAnsi" w:cstheme="minorBidi"/>
          <w:color w:val="auto"/>
          <w:sz w:val="22"/>
          <w:szCs w:val="22"/>
        </w:rPr>
        <w:id w:val="724578044"/>
        <w:docPartObj>
          <w:docPartGallery w:val="Table of Contents"/>
          <w:docPartUnique/>
        </w:docPartObj>
      </w:sdtPr>
      <w:sdtEndPr>
        <w:rPr>
          <w:b/>
          <w:bCs/>
          <w:noProof/>
        </w:rPr>
      </w:sdtEndPr>
      <w:sdtContent>
        <w:p w14:paraId="62647CB4" w14:textId="0A69BD86" w:rsidR="00EF3E72" w:rsidRPr="00B4108F" w:rsidRDefault="00EF3E72" w:rsidP="008B7029">
          <w:pPr>
            <w:pStyle w:val="Heading1"/>
            <w:shd w:val="clear" w:color="auto" w:fill="D7D8D8"/>
            <w:rPr>
              <w:color w:val="427A38"/>
            </w:rPr>
          </w:pPr>
          <w:r w:rsidRPr="00B4108F">
            <w:rPr>
              <w:color w:val="427A38"/>
            </w:rPr>
            <w:t>Contents</w:t>
          </w:r>
          <w:bookmarkEnd w:id="0"/>
        </w:p>
        <w:p w14:paraId="7E40CBCC" w14:textId="7E59D77B" w:rsidR="009E6AD3" w:rsidRDefault="006D0228">
          <w:pPr>
            <w:pStyle w:val="TOC1"/>
            <w:rPr>
              <w:rFonts w:eastAsiaTheme="minorEastAsia" w:cstheme="minorBidi"/>
              <w:b w:val="0"/>
              <w:bCs w:val="0"/>
              <w:caps w:val="0"/>
              <w:color w:val="auto"/>
              <w:kern w:val="2"/>
              <w:sz w:val="24"/>
              <w:szCs w:val="24"/>
              <w:lang w:eastAsia="en-AU"/>
              <w14:ligatures w14:val="standardContextual"/>
            </w:rPr>
          </w:pPr>
          <w:r w:rsidRPr="00B4108F">
            <w:rPr>
              <w:rFonts w:ascii="Aptos" w:hAnsi="Aptos"/>
            </w:rPr>
            <w:fldChar w:fldCharType="begin"/>
          </w:r>
          <w:r w:rsidRPr="00B4108F">
            <w:rPr>
              <w:rFonts w:ascii="Aptos" w:hAnsi="Aptos"/>
            </w:rPr>
            <w:instrText xml:space="preserve"> TOC \o "1-4" \h \z \u </w:instrText>
          </w:r>
          <w:r w:rsidRPr="00B4108F">
            <w:rPr>
              <w:rFonts w:ascii="Aptos" w:hAnsi="Aptos"/>
            </w:rPr>
            <w:fldChar w:fldCharType="separate"/>
          </w:r>
          <w:hyperlink w:anchor="_Toc197608583" w:history="1">
            <w:r w:rsidR="009E6AD3" w:rsidRPr="00A03FF5">
              <w:rPr>
                <w:rStyle w:val="Hyperlink"/>
              </w:rPr>
              <w:t>Contents</w:t>
            </w:r>
            <w:r w:rsidR="009E6AD3">
              <w:rPr>
                <w:webHidden/>
              </w:rPr>
              <w:tab/>
            </w:r>
            <w:r w:rsidR="009E6AD3">
              <w:rPr>
                <w:webHidden/>
              </w:rPr>
              <w:fldChar w:fldCharType="begin"/>
            </w:r>
            <w:r w:rsidR="009E6AD3">
              <w:rPr>
                <w:webHidden/>
              </w:rPr>
              <w:instrText xml:space="preserve"> PAGEREF _Toc197608583 \h </w:instrText>
            </w:r>
            <w:r w:rsidR="009E6AD3">
              <w:rPr>
                <w:webHidden/>
              </w:rPr>
            </w:r>
            <w:r w:rsidR="009E6AD3">
              <w:rPr>
                <w:webHidden/>
              </w:rPr>
              <w:fldChar w:fldCharType="separate"/>
            </w:r>
            <w:r w:rsidR="00DD3304">
              <w:rPr>
                <w:webHidden/>
              </w:rPr>
              <w:t>2</w:t>
            </w:r>
            <w:r w:rsidR="009E6AD3">
              <w:rPr>
                <w:webHidden/>
              </w:rPr>
              <w:fldChar w:fldCharType="end"/>
            </w:r>
          </w:hyperlink>
        </w:p>
        <w:p w14:paraId="16D7507E" w14:textId="11E82E97"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584" w:history="1">
            <w:r w:rsidRPr="00A03FF5">
              <w:rPr>
                <w:rStyle w:val="Hyperlink"/>
              </w:rPr>
              <w:t>1. INTRODUCTION</w:t>
            </w:r>
            <w:r>
              <w:rPr>
                <w:webHidden/>
              </w:rPr>
              <w:tab/>
            </w:r>
            <w:r>
              <w:rPr>
                <w:webHidden/>
              </w:rPr>
              <w:fldChar w:fldCharType="begin"/>
            </w:r>
            <w:r>
              <w:rPr>
                <w:webHidden/>
              </w:rPr>
              <w:instrText xml:space="preserve"> PAGEREF _Toc197608584 \h </w:instrText>
            </w:r>
            <w:r>
              <w:rPr>
                <w:webHidden/>
              </w:rPr>
            </w:r>
            <w:r>
              <w:rPr>
                <w:webHidden/>
              </w:rPr>
              <w:fldChar w:fldCharType="separate"/>
            </w:r>
            <w:r w:rsidR="00DD3304">
              <w:rPr>
                <w:webHidden/>
              </w:rPr>
              <w:t>3</w:t>
            </w:r>
            <w:r>
              <w:rPr>
                <w:webHidden/>
              </w:rPr>
              <w:fldChar w:fldCharType="end"/>
            </w:r>
          </w:hyperlink>
        </w:p>
        <w:p w14:paraId="5D379D28" w14:textId="00A650AF" w:rsidR="009E6AD3" w:rsidRDefault="009E6AD3">
          <w:pPr>
            <w:pStyle w:val="TOC2"/>
            <w:tabs>
              <w:tab w:val="right" w:leader="dot" w:pos="9016"/>
            </w:tabs>
            <w:rPr>
              <w:rFonts w:eastAsiaTheme="minorEastAsia" w:cstheme="minorBidi"/>
              <w:smallCaps w:val="0"/>
              <w:noProof/>
              <w:kern w:val="2"/>
              <w:sz w:val="24"/>
              <w:szCs w:val="24"/>
              <w:lang w:eastAsia="en-AU"/>
              <w14:ligatures w14:val="standardContextual"/>
            </w:rPr>
          </w:pPr>
          <w:hyperlink w:anchor="_Toc197608585" w:history="1">
            <w:r w:rsidRPr="00A03FF5">
              <w:rPr>
                <w:rStyle w:val="Hyperlink"/>
                <w:noProof/>
              </w:rPr>
              <w:t>1.1. Purpose</w:t>
            </w:r>
            <w:r>
              <w:rPr>
                <w:noProof/>
                <w:webHidden/>
              </w:rPr>
              <w:tab/>
            </w:r>
            <w:r>
              <w:rPr>
                <w:noProof/>
                <w:webHidden/>
              </w:rPr>
              <w:fldChar w:fldCharType="begin"/>
            </w:r>
            <w:r>
              <w:rPr>
                <w:noProof/>
                <w:webHidden/>
              </w:rPr>
              <w:instrText xml:space="preserve"> PAGEREF _Toc197608585 \h </w:instrText>
            </w:r>
            <w:r>
              <w:rPr>
                <w:noProof/>
                <w:webHidden/>
              </w:rPr>
            </w:r>
            <w:r>
              <w:rPr>
                <w:noProof/>
                <w:webHidden/>
              </w:rPr>
              <w:fldChar w:fldCharType="separate"/>
            </w:r>
            <w:r w:rsidR="00DD3304">
              <w:rPr>
                <w:noProof/>
                <w:webHidden/>
              </w:rPr>
              <w:t>3</w:t>
            </w:r>
            <w:r>
              <w:rPr>
                <w:noProof/>
                <w:webHidden/>
              </w:rPr>
              <w:fldChar w:fldCharType="end"/>
            </w:r>
          </w:hyperlink>
        </w:p>
        <w:p w14:paraId="3994E7E4" w14:textId="3B92870F" w:rsidR="009E6AD3" w:rsidRDefault="009E6AD3">
          <w:pPr>
            <w:pStyle w:val="TOC2"/>
            <w:tabs>
              <w:tab w:val="right" w:leader="dot" w:pos="9016"/>
            </w:tabs>
            <w:rPr>
              <w:rFonts w:eastAsiaTheme="minorEastAsia" w:cstheme="minorBidi"/>
              <w:smallCaps w:val="0"/>
              <w:noProof/>
              <w:kern w:val="2"/>
              <w:sz w:val="24"/>
              <w:szCs w:val="24"/>
              <w:lang w:eastAsia="en-AU"/>
              <w14:ligatures w14:val="standardContextual"/>
            </w:rPr>
          </w:pPr>
          <w:hyperlink w:anchor="_Toc197608586" w:history="1">
            <w:r w:rsidRPr="00A03FF5">
              <w:rPr>
                <w:rStyle w:val="Hyperlink"/>
                <w:noProof/>
              </w:rPr>
              <w:t>1.2. Trades Recognition Australia</w:t>
            </w:r>
            <w:r>
              <w:rPr>
                <w:noProof/>
                <w:webHidden/>
              </w:rPr>
              <w:tab/>
            </w:r>
            <w:r>
              <w:rPr>
                <w:noProof/>
                <w:webHidden/>
              </w:rPr>
              <w:fldChar w:fldCharType="begin"/>
            </w:r>
            <w:r>
              <w:rPr>
                <w:noProof/>
                <w:webHidden/>
              </w:rPr>
              <w:instrText xml:space="preserve"> PAGEREF _Toc197608586 \h </w:instrText>
            </w:r>
            <w:r>
              <w:rPr>
                <w:noProof/>
                <w:webHidden/>
              </w:rPr>
            </w:r>
            <w:r>
              <w:rPr>
                <w:noProof/>
                <w:webHidden/>
              </w:rPr>
              <w:fldChar w:fldCharType="separate"/>
            </w:r>
            <w:r w:rsidR="00DD3304">
              <w:rPr>
                <w:noProof/>
                <w:webHidden/>
              </w:rPr>
              <w:t>3</w:t>
            </w:r>
            <w:r>
              <w:rPr>
                <w:noProof/>
                <w:webHidden/>
              </w:rPr>
              <w:fldChar w:fldCharType="end"/>
            </w:r>
          </w:hyperlink>
        </w:p>
        <w:p w14:paraId="2090DFEF" w14:textId="5A24EAE6" w:rsidR="009E6AD3" w:rsidRDefault="009E6AD3">
          <w:pPr>
            <w:pStyle w:val="TOC2"/>
            <w:tabs>
              <w:tab w:val="right" w:leader="dot" w:pos="9016"/>
            </w:tabs>
            <w:rPr>
              <w:rFonts w:eastAsiaTheme="minorEastAsia" w:cstheme="minorBidi"/>
              <w:smallCaps w:val="0"/>
              <w:noProof/>
              <w:kern w:val="2"/>
              <w:sz w:val="24"/>
              <w:szCs w:val="24"/>
              <w:lang w:eastAsia="en-AU"/>
              <w14:ligatures w14:val="standardContextual"/>
            </w:rPr>
          </w:pPr>
          <w:hyperlink w:anchor="_Toc197608587" w:history="1">
            <w:r w:rsidRPr="00A03FF5">
              <w:rPr>
                <w:rStyle w:val="Hyperlink"/>
                <w:noProof/>
              </w:rPr>
              <w:t>1.3. Description of the regulatory charging activity</w:t>
            </w:r>
            <w:r>
              <w:rPr>
                <w:noProof/>
                <w:webHidden/>
              </w:rPr>
              <w:tab/>
            </w:r>
            <w:r>
              <w:rPr>
                <w:noProof/>
                <w:webHidden/>
              </w:rPr>
              <w:fldChar w:fldCharType="begin"/>
            </w:r>
            <w:r>
              <w:rPr>
                <w:noProof/>
                <w:webHidden/>
              </w:rPr>
              <w:instrText xml:space="preserve"> PAGEREF _Toc197608587 \h </w:instrText>
            </w:r>
            <w:r>
              <w:rPr>
                <w:noProof/>
                <w:webHidden/>
              </w:rPr>
            </w:r>
            <w:r>
              <w:rPr>
                <w:noProof/>
                <w:webHidden/>
              </w:rPr>
              <w:fldChar w:fldCharType="separate"/>
            </w:r>
            <w:r w:rsidR="00DD3304">
              <w:rPr>
                <w:noProof/>
                <w:webHidden/>
              </w:rPr>
              <w:t>3</w:t>
            </w:r>
            <w:r>
              <w:rPr>
                <w:noProof/>
                <w:webHidden/>
              </w:rPr>
              <w:fldChar w:fldCharType="end"/>
            </w:r>
          </w:hyperlink>
        </w:p>
        <w:p w14:paraId="70EB9FF3" w14:textId="224076A3" w:rsidR="009E6AD3" w:rsidRDefault="009E6AD3">
          <w:pPr>
            <w:pStyle w:val="TOC4"/>
            <w:tabs>
              <w:tab w:val="right" w:leader="dot" w:pos="9016"/>
            </w:tabs>
            <w:rPr>
              <w:rFonts w:eastAsiaTheme="minorEastAsia" w:cstheme="minorBidi"/>
              <w:noProof/>
              <w:kern w:val="2"/>
              <w:sz w:val="24"/>
              <w:szCs w:val="24"/>
              <w:lang w:eastAsia="en-AU"/>
              <w14:ligatures w14:val="standardContextual"/>
            </w:rPr>
          </w:pPr>
          <w:hyperlink w:anchor="_Toc197608588" w:history="1">
            <w:r w:rsidRPr="00A03FF5">
              <w:rPr>
                <w:rStyle w:val="Hyperlink"/>
                <w:rFonts w:ascii="Aptos" w:hAnsi="Aptos"/>
                <w:b/>
                <w:bCs/>
                <w:noProof/>
              </w:rPr>
              <w:t>Table 1:</w:t>
            </w:r>
            <w:r w:rsidRPr="00A03FF5">
              <w:rPr>
                <w:rStyle w:val="Hyperlink"/>
                <w:rFonts w:ascii="Aptos" w:hAnsi="Aptos"/>
                <w:noProof/>
              </w:rPr>
              <w:t xml:space="preserve"> Trades Recognition Australia Legislative Instruments</w:t>
            </w:r>
            <w:r>
              <w:rPr>
                <w:noProof/>
                <w:webHidden/>
              </w:rPr>
              <w:tab/>
            </w:r>
            <w:r>
              <w:rPr>
                <w:noProof/>
                <w:webHidden/>
              </w:rPr>
              <w:fldChar w:fldCharType="begin"/>
            </w:r>
            <w:r>
              <w:rPr>
                <w:noProof/>
                <w:webHidden/>
              </w:rPr>
              <w:instrText xml:space="preserve"> PAGEREF _Toc197608588 \h </w:instrText>
            </w:r>
            <w:r>
              <w:rPr>
                <w:noProof/>
                <w:webHidden/>
              </w:rPr>
            </w:r>
            <w:r>
              <w:rPr>
                <w:noProof/>
                <w:webHidden/>
              </w:rPr>
              <w:fldChar w:fldCharType="separate"/>
            </w:r>
            <w:r w:rsidR="00DD3304">
              <w:rPr>
                <w:noProof/>
                <w:webHidden/>
              </w:rPr>
              <w:t>4</w:t>
            </w:r>
            <w:r>
              <w:rPr>
                <w:noProof/>
                <w:webHidden/>
              </w:rPr>
              <w:fldChar w:fldCharType="end"/>
            </w:r>
          </w:hyperlink>
        </w:p>
        <w:p w14:paraId="1A641C19" w14:textId="02E1BE2A" w:rsidR="009E6AD3" w:rsidRDefault="009E6AD3">
          <w:pPr>
            <w:pStyle w:val="TOC3"/>
            <w:tabs>
              <w:tab w:val="right" w:leader="dot" w:pos="9016"/>
            </w:tabs>
            <w:rPr>
              <w:rFonts w:eastAsiaTheme="minorEastAsia" w:cstheme="minorBidi"/>
              <w:i w:val="0"/>
              <w:iCs w:val="0"/>
              <w:noProof/>
              <w:kern w:val="2"/>
              <w:sz w:val="24"/>
              <w:szCs w:val="24"/>
              <w:lang w:eastAsia="en-AU"/>
              <w14:ligatures w14:val="standardContextual"/>
            </w:rPr>
          </w:pPr>
          <w:hyperlink w:anchor="_Toc197608589" w:history="1">
            <w:r w:rsidRPr="00A03FF5">
              <w:rPr>
                <w:rStyle w:val="Hyperlink"/>
                <w:rFonts w:ascii="Aptos" w:hAnsi="Aptos"/>
                <w:b/>
                <w:bCs/>
                <w:noProof/>
              </w:rPr>
              <w:t>Pathway 1: Provisional Skills Assessment</w:t>
            </w:r>
            <w:r>
              <w:rPr>
                <w:noProof/>
                <w:webHidden/>
              </w:rPr>
              <w:tab/>
            </w:r>
            <w:r>
              <w:rPr>
                <w:noProof/>
                <w:webHidden/>
              </w:rPr>
              <w:fldChar w:fldCharType="begin"/>
            </w:r>
            <w:r>
              <w:rPr>
                <w:noProof/>
                <w:webHidden/>
              </w:rPr>
              <w:instrText xml:space="preserve"> PAGEREF _Toc197608589 \h </w:instrText>
            </w:r>
            <w:r>
              <w:rPr>
                <w:noProof/>
                <w:webHidden/>
              </w:rPr>
            </w:r>
            <w:r>
              <w:rPr>
                <w:noProof/>
                <w:webHidden/>
              </w:rPr>
              <w:fldChar w:fldCharType="separate"/>
            </w:r>
            <w:r w:rsidR="00DD3304">
              <w:rPr>
                <w:noProof/>
                <w:webHidden/>
              </w:rPr>
              <w:t>4</w:t>
            </w:r>
            <w:r>
              <w:rPr>
                <w:noProof/>
                <w:webHidden/>
              </w:rPr>
              <w:fldChar w:fldCharType="end"/>
            </w:r>
          </w:hyperlink>
        </w:p>
        <w:p w14:paraId="0D96B770" w14:textId="6EC38EF0" w:rsidR="009E6AD3" w:rsidRDefault="009E6AD3">
          <w:pPr>
            <w:pStyle w:val="TOC3"/>
            <w:tabs>
              <w:tab w:val="right" w:leader="dot" w:pos="9016"/>
            </w:tabs>
            <w:rPr>
              <w:rFonts w:eastAsiaTheme="minorEastAsia" w:cstheme="minorBidi"/>
              <w:i w:val="0"/>
              <w:iCs w:val="0"/>
              <w:noProof/>
              <w:kern w:val="2"/>
              <w:sz w:val="24"/>
              <w:szCs w:val="24"/>
              <w:lang w:eastAsia="en-AU"/>
              <w14:ligatures w14:val="standardContextual"/>
            </w:rPr>
          </w:pPr>
          <w:hyperlink w:anchor="_Toc197608590" w:history="1">
            <w:r w:rsidRPr="00A03FF5">
              <w:rPr>
                <w:rStyle w:val="Hyperlink"/>
                <w:rFonts w:ascii="Aptos" w:hAnsi="Aptos"/>
                <w:b/>
                <w:bCs/>
                <w:noProof/>
              </w:rPr>
              <w:t>Pathway 2: Job Ready Program (three steps)</w:t>
            </w:r>
            <w:r>
              <w:rPr>
                <w:noProof/>
                <w:webHidden/>
              </w:rPr>
              <w:tab/>
            </w:r>
            <w:r>
              <w:rPr>
                <w:noProof/>
                <w:webHidden/>
              </w:rPr>
              <w:fldChar w:fldCharType="begin"/>
            </w:r>
            <w:r>
              <w:rPr>
                <w:noProof/>
                <w:webHidden/>
              </w:rPr>
              <w:instrText xml:space="preserve"> PAGEREF _Toc197608590 \h </w:instrText>
            </w:r>
            <w:r>
              <w:rPr>
                <w:noProof/>
                <w:webHidden/>
              </w:rPr>
            </w:r>
            <w:r>
              <w:rPr>
                <w:noProof/>
                <w:webHidden/>
              </w:rPr>
              <w:fldChar w:fldCharType="separate"/>
            </w:r>
            <w:r w:rsidR="00DD3304">
              <w:rPr>
                <w:noProof/>
                <w:webHidden/>
              </w:rPr>
              <w:t>4</w:t>
            </w:r>
            <w:r>
              <w:rPr>
                <w:noProof/>
                <w:webHidden/>
              </w:rPr>
              <w:fldChar w:fldCharType="end"/>
            </w:r>
          </w:hyperlink>
        </w:p>
        <w:p w14:paraId="6A07FAAF" w14:textId="07ED7E27" w:rsidR="009E6AD3" w:rsidRDefault="009E6AD3">
          <w:pPr>
            <w:pStyle w:val="TOC3"/>
            <w:tabs>
              <w:tab w:val="right" w:leader="dot" w:pos="9016"/>
            </w:tabs>
            <w:rPr>
              <w:rFonts w:eastAsiaTheme="minorEastAsia" w:cstheme="minorBidi"/>
              <w:i w:val="0"/>
              <w:iCs w:val="0"/>
              <w:noProof/>
              <w:kern w:val="2"/>
              <w:sz w:val="24"/>
              <w:szCs w:val="24"/>
              <w:lang w:eastAsia="en-AU"/>
              <w14:ligatures w14:val="standardContextual"/>
            </w:rPr>
          </w:pPr>
          <w:hyperlink w:anchor="_Toc197608591" w:history="1">
            <w:r w:rsidRPr="00A03FF5">
              <w:rPr>
                <w:rStyle w:val="Hyperlink"/>
                <w:rFonts w:ascii="Aptos" w:hAnsi="Aptos"/>
                <w:b/>
                <w:bCs/>
                <w:noProof/>
              </w:rPr>
              <w:t>Pathway 3: Migration Skills Assessment</w:t>
            </w:r>
            <w:r>
              <w:rPr>
                <w:noProof/>
                <w:webHidden/>
              </w:rPr>
              <w:tab/>
            </w:r>
            <w:r>
              <w:rPr>
                <w:noProof/>
                <w:webHidden/>
              </w:rPr>
              <w:fldChar w:fldCharType="begin"/>
            </w:r>
            <w:r>
              <w:rPr>
                <w:noProof/>
                <w:webHidden/>
              </w:rPr>
              <w:instrText xml:space="preserve"> PAGEREF _Toc197608591 \h </w:instrText>
            </w:r>
            <w:r>
              <w:rPr>
                <w:noProof/>
                <w:webHidden/>
              </w:rPr>
            </w:r>
            <w:r>
              <w:rPr>
                <w:noProof/>
                <w:webHidden/>
              </w:rPr>
              <w:fldChar w:fldCharType="separate"/>
            </w:r>
            <w:r w:rsidR="00DD3304">
              <w:rPr>
                <w:noProof/>
                <w:webHidden/>
              </w:rPr>
              <w:t>5</w:t>
            </w:r>
            <w:r>
              <w:rPr>
                <w:noProof/>
                <w:webHidden/>
              </w:rPr>
              <w:fldChar w:fldCharType="end"/>
            </w:r>
          </w:hyperlink>
        </w:p>
        <w:p w14:paraId="4F28F1DA" w14:textId="44410A42" w:rsidR="009E6AD3" w:rsidRDefault="009E6AD3">
          <w:pPr>
            <w:pStyle w:val="TOC3"/>
            <w:tabs>
              <w:tab w:val="right" w:leader="dot" w:pos="9016"/>
            </w:tabs>
            <w:rPr>
              <w:rFonts w:eastAsiaTheme="minorEastAsia" w:cstheme="minorBidi"/>
              <w:i w:val="0"/>
              <w:iCs w:val="0"/>
              <w:noProof/>
              <w:kern w:val="2"/>
              <w:sz w:val="24"/>
              <w:szCs w:val="24"/>
              <w:lang w:eastAsia="en-AU"/>
              <w14:ligatures w14:val="standardContextual"/>
            </w:rPr>
          </w:pPr>
          <w:hyperlink w:anchor="_Toc197608592" w:history="1">
            <w:r w:rsidRPr="00A03FF5">
              <w:rPr>
                <w:rStyle w:val="Hyperlink"/>
                <w:rFonts w:ascii="Aptos" w:hAnsi="Aptos"/>
                <w:b/>
                <w:bCs/>
                <w:noProof/>
              </w:rPr>
              <w:t>Pathway 4: Migration Points Advice</w:t>
            </w:r>
            <w:r>
              <w:rPr>
                <w:noProof/>
                <w:webHidden/>
              </w:rPr>
              <w:tab/>
            </w:r>
            <w:r>
              <w:rPr>
                <w:noProof/>
                <w:webHidden/>
              </w:rPr>
              <w:fldChar w:fldCharType="begin"/>
            </w:r>
            <w:r>
              <w:rPr>
                <w:noProof/>
                <w:webHidden/>
              </w:rPr>
              <w:instrText xml:space="preserve"> PAGEREF _Toc197608592 \h </w:instrText>
            </w:r>
            <w:r>
              <w:rPr>
                <w:noProof/>
                <w:webHidden/>
              </w:rPr>
            </w:r>
            <w:r>
              <w:rPr>
                <w:noProof/>
                <w:webHidden/>
              </w:rPr>
              <w:fldChar w:fldCharType="separate"/>
            </w:r>
            <w:r w:rsidR="00DD3304">
              <w:rPr>
                <w:noProof/>
                <w:webHidden/>
              </w:rPr>
              <w:t>5</w:t>
            </w:r>
            <w:r>
              <w:rPr>
                <w:noProof/>
                <w:webHidden/>
              </w:rPr>
              <w:fldChar w:fldCharType="end"/>
            </w:r>
          </w:hyperlink>
        </w:p>
        <w:p w14:paraId="70D30FB5" w14:textId="644E8254" w:rsidR="009E6AD3" w:rsidRDefault="009E6AD3">
          <w:pPr>
            <w:pStyle w:val="TOC3"/>
            <w:tabs>
              <w:tab w:val="right" w:leader="dot" w:pos="9016"/>
            </w:tabs>
            <w:rPr>
              <w:rFonts w:eastAsiaTheme="minorEastAsia" w:cstheme="minorBidi"/>
              <w:i w:val="0"/>
              <w:iCs w:val="0"/>
              <w:noProof/>
              <w:kern w:val="2"/>
              <w:sz w:val="24"/>
              <w:szCs w:val="24"/>
              <w:lang w:eastAsia="en-AU"/>
              <w14:ligatures w14:val="standardContextual"/>
            </w:rPr>
          </w:pPr>
          <w:hyperlink w:anchor="_Toc197608593" w:history="1">
            <w:r w:rsidRPr="00A03FF5">
              <w:rPr>
                <w:rStyle w:val="Hyperlink"/>
                <w:rFonts w:ascii="Aptos" w:hAnsi="Aptos"/>
                <w:b/>
                <w:bCs/>
                <w:noProof/>
              </w:rPr>
              <w:t>Pathway 5 and 6: RTO Assessment Services | Offshore Skills Assessment Program and the Temporary Skills Shortage Skills Assessment</w:t>
            </w:r>
            <w:r>
              <w:rPr>
                <w:noProof/>
                <w:webHidden/>
              </w:rPr>
              <w:tab/>
            </w:r>
            <w:r>
              <w:rPr>
                <w:noProof/>
                <w:webHidden/>
              </w:rPr>
              <w:fldChar w:fldCharType="begin"/>
            </w:r>
            <w:r>
              <w:rPr>
                <w:noProof/>
                <w:webHidden/>
              </w:rPr>
              <w:instrText xml:space="preserve"> PAGEREF _Toc197608593 \h </w:instrText>
            </w:r>
            <w:r>
              <w:rPr>
                <w:noProof/>
                <w:webHidden/>
              </w:rPr>
            </w:r>
            <w:r>
              <w:rPr>
                <w:noProof/>
                <w:webHidden/>
              </w:rPr>
              <w:fldChar w:fldCharType="separate"/>
            </w:r>
            <w:r w:rsidR="00DD3304">
              <w:rPr>
                <w:noProof/>
                <w:webHidden/>
              </w:rPr>
              <w:t>5</w:t>
            </w:r>
            <w:r>
              <w:rPr>
                <w:noProof/>
                <w:webHidden/>
              </w:rPr>
              <w:fldChar w:fldCharType="end"/>
            </w:r>
          </w:hyperlink>
        </w:p>
        <w:p w14:paraId="6C0E98F3" w14:textId="7222B95F"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594" w:history="1">
            <w:r w:rsidRPr="00A03FF5">
              <w:rPr>
                <w:rStyle w:val="Hyperlink"/>
                <w:lang w:eastAsia="en-AU"/>
              </w:rPr>
              <w:t>2. POLICY AND STATUTORY AUTHORITY TO CHARGE</w:t>
            </w:r>
            <w:r>
              <w:rPr>
                <w:webHidden/>
              </w:rPr>
              <w:tab/>
            </w:r>
            <w:r>
              <w:rPr>
                <w:webHidden/>
              </w:rPr>
              <w:fldChar w:fldCharType="begin"/>
            </w:r>
            <w:r>
              <w:rPr>
                <w:webHidden/>
              </w:rPr>
              <w:instrText xml:space="preserve"> PAGEREF _Toc197608594 \h </w:instrText>
            </w:r>
            <w:r>
              <w:rPr>
                <w:webHidden/>
              </w:rPr>
            </w:r>
            <w:r>
              <w:rPr>
                <w:webHidden/>
              </w:rPr>
              <w:fldChar w:fldCharType="separate"/>
            </w:r>
            <w:r w:rsidR="00DD3304">
              <w:rPr>
                <w:webHidden/>
              </w:rPr>
              <w:t>6</w:t>
            </w:r>
            <w:r>
              <w:rPr>
                <w:webHidden/>
              </w:rPr>
              <w:fldChar w:fldCharType="end"/>
            </w:r>
          </w:hyperlink>
        </w:p>
        <w:p w14:paraId="070E8869" w14:textId="4385C568" w:rsidR="009E6AD3" w:rsidRDefault="009E6AD3">
          <w:pPr>
            <w:pStyle w:val="TOC2"/>
            <w:tabs>
              <w:tab w:val="right" w:leader="dot" w:pos="9016"/>
            </w:tabs>
            <w:rPr>
              <w:rFonts w:eastAsiaTheme="minorEastAsia" w:cstheme="minorBidi"/>
              <w:smallCaps w:val="0"/>
              <w:noProof/>
              <w:kern w:val="2"/>
              <w:sz w:val="24"/>
              <w:szCs w:val="24"/>
              <w:lang w:eastAsia="en-AU"/>
              <w14:ligatures w14:val="standardContextual"/>
            </w:rPr>
          </w:pPr>
          <w:hyperlink w:anchor="_Toc197608595" w:history="1">
            <w:r w:rsidRPr="00A03FF5">
              <w:rPr>
                <w:rStyle w:val="Hyperlink"/>
                <w:noProof/>
              </w:rPr>
              <w:t>2.1. Government policy approval to cost recover the regulatory activity</w:t>
            </w:r>
            <w:r>
              <w:rPr>
                <w:noProof/>
                <w:webHidden/>
              </w:rPr>
              <w:tab/>
            </w:r>
            <w:r>
              <w:rPr>
                <w:noProof/>
                <w:webHidden/>
              </w:rPr>
              <w:fldChar w:fldCharType="begin"/>
            </w:r>
            <w:r>
              <w:rPr>
                <w:noProof/>
                <w:webHidden/>
              </w:rPr>
              <w:instrText xml:space="preserve"> PAGEREF _Toc197608595 \h </w:instrText>
            </w:r>
            <w:r>
              <w:rPr>
                <w:noProof/>
                <w:webHidden/>
              </w:rPr>
            </w:r>
            <w:r>
              <w:rPr>
                <w:noProof/>
                <w:webHidden/>
              </w:rPr>
              <w:fldChar w:fldCharType="separate"/>
            </w:r>
            <w:r w:rsidR="00DD3304">
              <w:rPr>
                <w:noProof/>
                <w:webHidden/>
              </w:rPr>
              <w:t>6</w:t>
            </w:r>
            <w:r>
              <w:rPr>
                <w:noProof/>
                <w:webHidden/>
              </w:rPr>
              <w:fldChar w:fldCharType="end"/>
            </w:r>
          </w:hyperlink>
        </w:p>
        <w:p w14:paraId="5393C76F" w14:textId="6D3DD303" w:rsidR="009E6AD3" w:rsidRDefault="009E6AD3">
          <w:pPr>
            <w:pStyle w:val="TOC3"/>
            <w:tabs>
              <w:tab w:val="right" w:leader="dot" w:pos="9016"/>
            </w:tabs>
            <w:rPr>
              <w:rFonts w:eastAsiaTheme="minorEastAsia" w:cstheme="minorBidi"/>
              <w:i w:val="0"/>
              <w:iCs w:val="0"/>
              <w:noProof/>
              <w:kern w:val="2"/>
              <w:sz w:val="24"/>
              <w:szCs w:val="24"/>
              <w:lang w:eastAsia="en-AU"/>
              <w14:ligatures w14:val="standardContextual"/>
            </w:rPr>
          </w:pPr>
          <w:hyperlink w:anchor="_Toc197608596" w:history="1">
            <w:r w:rsidRPr="00A03FF5">
              <w:rPr>
                <w:rStyle w:val="Hyperlink"/>
                <w:rFonts w:ascii="Aptos" w:hAnsi="Aptos"/>
                <w:b/>
                <w:bCs/>
                <w:noProof/>
              </w:rPr>
              <w:t>Stage 1:</w:t>
            </w:r>
            <w:r>
              <w:rPr>
                <w:noProof/>
                <w:webHidden/>
              </w:rPr>
              <w:tab/>
            </w:r>
            <w:r>
              <w:rPr>
                <w:noProof/>
                <w:webHidden/>
              </w:rPr>
              <w:fldChar w:fldCharType="begin"/>
            </w:r>
            <w:r>
              <w:rPr>
                <w:noProof/>
                <w:webHidden/>
              </w:rPr>
              <w:instrText xml:space="preserve"> PAGEREF _Toc197608596 \h </w:instrText>
            </w:r>
            <w:r>
              <w:rPr>
                <w:noProof/>
                <w:webHidden/>
              </w:rPr>
            </w:r>
            <w:r>
              <w:rPr>
                <w:noProof/>
                <w:webHidden/>
              </w:rPr>
              <w:fldChar w:fldCharType="separate"/>
            </w:r>
            <w:r w:rsidR="00DD3304">
              <w:rPr>
                <w:noProof/>
                <w:webHidden/>
              </w:rPr>
              <w:t>6</w:t>
            </w:r>
            <w:r>
              <w:rPr>
                <w:noProof/>
                <w:webHidden/>
              </w:rPr>
              <w:fldChar w:fldCharType="end"/>
            </w:r>
          </w:hyperlink>
        </w:p>
        <w:p w14:paraId="6756DC5E" w14:textId="412B715C" w:rsidR="009E6AD3" w:rsidRDefault="009E6AD3">
          <w:pPr>
            <w:pStyle w:val="TOC3"/>
            <w:tabs>
              <w:tab w:val="right" w:leader="dot" w:pos="9016"/>
            </w:tabs>
            <w:rPr>
              <w:rFonts w:eastAsiaTheme="minorEastAsia" w:cstheme="minorBidi"/>
              <w:i w:val="0"/>
              <w:iCs w:val="0"/>
              <w:noProof/>
              <w:kern w:val="2"/>
              <w:sz w:val="24"/>
              <w:szCs w:val="24"/>
              <w:lang w:eastAsia="en-AU"/>
              <w14:ligatures w14:val="standardContextual"/>
            </w:rPr>
          </w:pPr>
          <w:hyperlink w:anchor="_Toc197608597" w:history="1">
            <w:r w:rsidRPr="00A03FF5">
              <w:rPr>
                <w:rStyle w:val="Hyperlink"/>
                <w:rFonts w:ascii="Aptos" w:hAnsi="Aptos"/>
                <w:b/>
                <w:bCs/>
                <w:noProof/>
              </w:rPr>
              <w:t>Stage 2:</w:t>
            </w:r>
            <w:r>
              <w:rPr>
                <w:noProof/>
                <w:webHidden/>
              </w:rPr>
              <w:tab/>
            </w:r>
            <w:r>
              <w:rPr>
                <w:noProof/>
                <w:webHidden/>
              </w:rPr>
              <w:fldChar w:fldCharType="begin"/>
            </w:r>
            <w:r>
              <w:rPr>
                <w:noProof/>
                <w:webHidden/>
              </w:rPr>
              <w:instrText xml:space="preserve"> PAGEREF _Toc197608597 \h </w:instrText>
            </w:r>
            <w:r>
              <w:rPr>
                <w:noProof/>
                <w:webHidden/>
              </w:rPr>
            </w:r>
            <w:r>
              <w:rPr>
                <w:noProof/>
                <w:webHidden/>
              </w:rPr>
              <w:fldChar w:fldCharType="separate"/>
            </w:r>
            <w:r w:rsidR="00DD3304">
              <w:rPr>
                <w:noProof/>
                <w:webHidden/>
              </w:rPr>
              <w:t>6</w:t>
            </w:r>
            <w:r>
              <w:rPr>
                <w:noProof/>
                <w:webHidden/>
              </w:rPr>
              <w:fldChar w:fldCharType="end"/>
            </w:r>
          </w:hyperlink>
        </w:p>
        <w:p w14:paraId="0A50E356" w14:textId="767E74FD" w:rsidR="009E6AD3" w:rsidRDefault="009E6AD3">
          <w:pPr>
            <w:pStyle w:val="TOC2"/>
            <w:tabs>
              <w:tab w:val="right" w:leader="dot" w:pos="9016"/>
            </w:tabs>
            <w:rPr>
              <w:rFonts w:eastAsiaTheme="minorEastAsia" w:cstheme="minorBidi"/>
              <w:smallCaps w:val="0"/>
              <w:noProof/>
              <w:kern w:val="2"/>
              <w:sz w:val="24"/>
              <w:szCs w:val="24"/>
              <w:lang w:eastAsia="en-AU"/>
              <w14:ligatures w14:val="standardContextual"/>
            </w:rPr>
          </w:pPr>
          <w:hyperlink w:anchor="_Toc197608598" w:history="1">
            <w:r w:rsidRPr="00A03FF5">
              <w:rPr>
                <w:rStyle w:val="Hyperlink"/>
                <w:noProof/>
              </w:rPr>
              <w:t>2.2. Statutory authority to charge</w:t>
            </w:r>
            <w:r>
              <w:rPr>
                <w:noProof/>
                <w:webHidden/>
              </w:rPr>
              <w:tab/>
            </w:r>
            <w:r>
              <w:rPr>
                <w:noProof/>
                <w:webHidden/>
              </w:rPr>
              <w:fldChar w:fldCharType="begin"/>
            </w:r>
            <w:r>
              <w:rPr>
                <w:noProof/>
                <w:webHidden/>
              </w:rPr>
              <w:instrText xml:space="preserve"> PAGEREF _Toc197608598 \h </w:instrText>
            </w:r>
            <w:r>
              <w:rPr>
                <w:noProof/>
                <w:webHidden/>
              </w:rPr>
            </w:r>
            <w:r>
              <w:rPr>
                <w:noProof/>
                <w:webHidden/>
              </w:rPr>
              <w:fldChar w:fldCharType="separate"/>
            </w:r>
            <w:r w:rsidR="00DD3304">
              <w:rPr>
                <w:noProof/>
                <w:webHidden/>
              </w:rPr>
              <w:t>7</w:t>
            </w:r>
            <w:r>
              <w:rPr>
                <w:noProof/>
                <w:webHidden/>
              </w:rPr>
              <w:fldChar w:fldCharType="end"/>
            </w:r>
          </w:hyperlink>
        </w:p>
        <w:p w14:paraId="5C2DFDE8" w14:textId="7B75C913"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599" w:history="1">
            <w:r w:rsidRPr="00A03FF5">
              <w:rPr>
                <w:rStyle w:val="Hyperlink"/>
                <w:lang w:eastAsia="en-AU"/>
              </w:rPr>
              <w:t>3.  COST RECOVERY MODEL</w:t>
            </w:r>
            <w:r>
              <w:rPr>
                <w:webHidden/>
              </w:rPr>
              <w:tab/>
            </w:r>
            <w:r>
              <w:rPr>
                <w:webHidden/>
              </w:rPr>
              <w:fldChar w:fldCharType="begin"/>
            </w:r>
            <w:r>
              <w:rPr>
                <w:webHidden/>
              </w:rPr>
              <w:instrText xml:space="preserve"> PAGEREF _Toc197608599 \h </w:instrText>
            </w:r>
            <w:r>
              <w:rPr>
                <w:webHidden/>
              </w:rPr>
            </w:r>
            <w:r>
              <w:rPr>
                <w:webHidden/>
              </w:rPr>
              <w:fldChar w:fldCharType="separate"/>
            </w:r>
            <w:r w:rsidR="00DD3304">
              <w:rPr>
                <w:webHidden/>
              </w:rPr>
              <w:t>7</w:t>
            </w:r>
            <w:r>
              <w:rPr>
                <w:webHidden/>
              </w:rPr>
              <w:fldChar w:fldCharType="end"/>
            </w:r>
          </w:hyperlink>
        </w:p>
        <w:p w14:paraId="6B7298CD" w14:textId="22E62638" w:rsidR="009E6AD3" w:rsidRDefault="009E6AD3">
          <w:pPr>
            <w:pStyle w:val="TOC2"/>
            <w:tabs>
              <w:tab w:val="right" w:leader="dot" w:pos="9016"/>
            </w:tabs>
            <w:rPr>
              <w:rFonts w:eastAsiaTheme="minorEastAsia" w:cstheme="minorBidi"/>
              <w:smallCaps w:val="0"/>
              <w:noProof/>
              <w:kern w:val="2"/>
              <w:sz w:val="24"/>
              <w:szCs w:val="24"/>
              <w:lang w:eastAsia="en-AU"/>
              <w14:ligatures w14:val="standardContextual"/>
            </w:rPr>
          </w:pPr>
          <w:hyperlink w:anchor="_Toc197608600" w:history="1">
            <w:r w:rsidRPr="00A03FF5">
              <w:rPr>
                <w:rStyle w:val="Hyperlink"/>
                <w:noProof/>
              </w:rPr>
              <w:t>3.1. Outputs and business processes of the regulatory charging activity</w:t>
            </w:r>
            <w:r>
              <w:rPr>
                <w:noProof/>
                <w:webHidden/>
              </w:rPr>
              <w:tab/>
            </w:r>
            <w:r>
              <w:rPr>
                <w:noProof/>
                <w:webHidden/>
              </w:rPr>
              <w:fldChar w:fldCharType="begin"/>
            </w:r>
            <w:r>
              <w:rPr>
                <w:noProof/>
                <w:webHidden/>
              </w:rPr>
              <w:instrText xml:space="preserve"> PAGEREF _Toc197608600 \h </w:instrText>
            </w:r>
            <w:r>
              <w:rPr>
                <w:noProof/>
                <w:webHidden/>
              </w:rPr>
            </w:r>
            <w:r>
              <w:rPr>
                <w:noProof/>
                <w:webHidden/>
              </w:rPr>
              <w:fldChar w:fldCharType="separate"/>
            </w:r>
            <w:r w:rsidR="00DD3304">
              <w:rPr>
                <w:noProof/>
                <w:webHidden/>
              </w:rPr>
              <w:t>7</w:t>
            </w:r>
            <w:r>
              <w:rPr>
                <w:noProof/>
                <w:webHidden/>
              </w:rPr>
              <w:fldChar w:fldCharType="end"/>
            </w:r>
          </w:hyperlink>
        </w:p>
        <w:p w14:paraId="265CE36A" w14:textId="3DC7FD8C" w:rsidR="009E6AD3" w:rsidRDefault="009E6AD3">
          <w:pPr>
            <w:pStyle w:val="TOC4"/>
            <w:tabs>
              <w:tab w:val="right" w:leader="dot" w:pos="9016"/>
            </w:tabs>
            <w:rPr>
              <w:rFonts w:eastAsiaTheme="minorEastAsia" w:cstheme="minorBidi"/>
              <w:noProof/>
              <w:kern w:val="2"/>
              <w:sz w:val="24"/>
              <w:szCs w:val="24"/>
              <w:lang w:eastAsia="en-AU"/>
              <w14:ligatures w14:val="standardContextual"/>
            </w:rPr>
          </w:pPr>
          <w:hyperlink w:anchor="_Toc197608601" w:history="1">
            <w:r w:rsidRPr="00A03FF5">
              <w:rPr>
                <w:rStyle w:val="Hyperlink"/>
                <w:rFonts w:ascii="Aptos" w:hAnsi="Aptos"/>
                <w:b/>
                <w:bCs/>
                <w:noProof/>
              </w:rPr>
              <w:t>Figure 1</w:t>
            </w:r>
            <w:r w:rsidRPr="00A03FF5">
              <w:rPr>
                <w:rStyle w:val="Hyperlink"/>
                <w:rFonts w:ascii="Aptos" w:hAnsi="Aptos"/>
                <w:noProof/>
              </w:rPr>
              <w:t>. Activity 1 –applications delivery and review.</w:t>
            </w:r>
            <w:r>
              <w:rPr>
                <w:noProof/>
                <w:webHidden/>
              </w:rPr>
              <w:tab/>
            </w:r>
            <w:r>
              <w:rPr>
                <w:noProof/>
                <w:webHidden/>
              </w:rPr>
              <w:fldChar w:fldCharType="begin"/>
            </w:r>
            <w:r>
              <w:rPr>
                <w:noProof/>
                <w:webHidden/>
              </w:rPr>
              <w:instrText xml:space="preserve"> PAGEREF _Toc197608601 \h </w:instrText>
            </w:r>
            <w:r>
              <w:rPr>
                <w:noProof/>
                <w:webHidden/>
              </w:rPr>
            </w:r>
            <w:r>
              <w:rPr>
                <w:noProof/>
                <w:webHidden/>
              </w:rPr>
              <w:fldChar w:fldCharType="separate"/>
            </w:r>
            <w:r w:rsidR="00DD3304">
              <w:rPr>
                <w:noProof/>
                <w:webHidden/>
              </w:rPr>
              <w:t>8</w:t>
            </w:r>
            <w:r>
              <w:rPr>
                <w:noProof/>
                <w:webHidden/>
              </w:rPr>
              <w:fldChar w:fldCharType="end"/>
            </w:r>
          </w:hyperlink>
        </w:p>
        <w:p w14:paraId="548D258F" w14:textId="67874463" w:rsidR="009E6AD3" w:rsidRDefault="009E6AD3">
          <w:pPr>
            <w:pStyle w:val="TOC4"/>
            <w:tabs>
              <w:tab w:val="right" w:leader="dot" w:pos="9016"/>
            </w:tabs>
            <w:rPr>
              <w:rFonts w:eastAsiaTheme="minorEastAsia" w:cstheme="minorBidi"/>
              <w:noProof/>
              <w:kern w:val="2"/>
              <w:sz w:val="24"/>
              <w:szCs w:val="24"/>
              <w:lang w:eastAsia="en-AU"/>
              <w14:ligatures w14:val="standardContextual"/>
            </w:rPr>
          </w:pPr>
          <w:hyperlink w:anchor="_Toc197608602" w:history="1">
            <w:r w:rsidRPr="00A03FF5">
              <w:rPr>
                <w:rStyle w:val="Hyperlink"/>
                <w:rFonts w:ascii="Aptos" w:hAnsi="Aptos"/>
                <w:b/>
                <w:bCs/>
                <w:noProof/>
              </w:rPr>
              <w:t>Figure 2</w:t>
            </w:r>
            <w:r w:rsidRPr="00A03FF5">
              <w:rPr>
                <w:rStyle w:val="Hyperlink"/>
                <w:rFonts w:ascii="Aptos" w:hAnsi="Aptos"/>
                <w:noProof/>
              </w:rPr>
              <w:t>. Activity 2 – program management and administration.</w:t>
            </w:r>
            <w:r>
              <w:rPr>
                <w:noProof/>
                <w:webHidden/>
              </w:rPr>
              <w:tab/>
            </w:r>
            <w:r>
              <w:rPr>
                <w:noProof/>
                <w:webHidden/>
              </w:rPr>
              <w:fldChar w:fldCharType="begin"/>
            </w:r>
            <w:r>
              <w:rPr>
                <w:noProof/>
                <w:webHidden/>
              </w:rPr>
              <w:instrText xml:space="preserve"> PAGEREF _Toc197608602 \h </w:instrText>
            </w:r>
            <w:r>
              <w:rPr>
                <w:noProof/>
                <w:webHidden/>
              </w:rPr>
            </w:r>
            <w:r>
              <w:rPr>
                <w:noProof/>
                <w:webHidden/>
              </w:rPr>
              <w:fldChar w:fldCharType="separate"/>
            </w:r>
            <w:r w:rsidR="00DD3304">
              <w:rPr>
                <w:noProof/>
                <w:webHidden/>
              </w:rPr>
              <w:t>8</w:t>
            </w:r>
            <w:r>
              <w:rPr>
                <w:noProof/>
                <w:webHidden/>
              </w:rPr>
              <w:fldChar w:fldCharType="end"/>
            </w:r>
          </w:hyperlink>
        </w:p>
        <w:p w14:paraId="45E6C6CD" w14:textId="741256B1" w:rsidR="009E6AD3" w:rsidRDefault="009E6AD3">
          <w:pPr>
            <w:pStyle w:val="TOC2"/>
            <w:tabs>
              <w:tab w:val="right" w:leader="dot" w:pos="9016"/>
            </w:tabs>
            <w:rPr>
              <w:rFonts w:eastAsiaTheme="minorEastAsia" w:cstheme="minorBidi"/>
              <w:smallCaps w:val="0"/>
              <w:noProof/>
              <w:kern w:val="2"/>
              <w:sz w:val="24"/>
              <w:szCs w:val="24"/>
              <w:lang w:eastAsia="en-AU"/>
              <w14:ligatures w14:val="standardContextual"/>
            </w:rPr>
          </w:pPr>
          <w:hyperlink w:anchor="_Toc197608603" w:history="1">
            <w:r w:rsidRPr="00A03FF5">
              <w:rPr>
                <w:rStyle w:val="Hyperlink"/>
                <w:noProof/>
              </w:rPr>
              <w:t>3.2. Costs of the regulatory charging activity</w:t>
            </w:r>
            <w:r>
              <w:rPr>
                <w:noProof/>
                <w:webHidden/>
              </w:rPr>
              <w:tab/>
            </w:r>
            <w:r>
              <w:rPr>
                <w:noProof/>
                <w:webHidden/>
              </w:rPr>
              <w:fldChar w:fldCharType="begin"/>
            </w:r>
            <w:r>
              <w:rPr>
                <w:noProof/>
                <w:webHidden/>
              </w:rPr>
              <w:instrText xml:space="preserve"> PAGEREF _Toc197608603 \h </w:instrText>
            </w:r>
            <w:r>
              <w:rPr>
                <w:noProof/>
                <w:webHidden/>
              </w:rPr>
            </w:r>
            <w:r>
              <w:rPr>
                <w:noProof/>
                <w:webHidden/>
              </w:rPr>
              <w:fldChar w:fldCharType="separate"/>
            </w:r>
            <w:r w:rsidR="00DD3304">
              <w:rPr>
                <w:noProof/>
                <w:webHidden/>
              </w:rPr>
              <w:t>8</w:t>
            </w:r>
            <w:r>
              <w:rPr>
                <w:noProof/>
                <w:webHidden/>
              </w:rPr>
              <w:fldChar w:fldCharType="end"/>
            </w:r>
          </w:hyperlink>
        </w:p>
        <w:p w14:paraId="416576DF" w14:textId="2C65D90F" w:rsidR="009E6AD3" w:rsidRDefault="009E6AD3">
          <w:pPr>
            <w:pStyle w:val="TOC4"/>
            <w:tabs>
              <w:tab w:val="right" w:leader="dot" w:pos="9016"/>
            </w:tabs>
            <w:rPr>
              <w:rFonts w:eastAsiaTheme="minorEastAsia" w:cstheme="minorBidi"/>
              <w:noProof/>
              <w:kern w:val="2"/>
              <w:sz w:val="24"/>
              <w:szCs w:val="24"/>
              <w:lang w:eastAsia="en-AU"/>
              <w14:ligatures w14:val="standardContextual"/>
            </w:rPr>
          </w:pPr>
          <w:hyperlink w:anchor="_Toc197608604" w:history="1">
            <w:r w:rsidRPr="00A03FF5">
              <w:rPr>
                <w:rStyle w:val="Hyperlink"/>
                <w:rFonts w:ascii="Aptos" w:hAnsi="Aptos"/>
                <w:b/>
                <w:bCs/>
                <w:noProof/>
              </w:rPr>
              <w:t>Table 2:</w:t>
            </w:r>
            <w:r w:rsidRPr="00A03FF5">
              <w:rPr>
                <w:rStyle w:val="Hyperlink"/>
                <w:rFonts w:ascii="Aptos" w:hAnsi="Aptos"/>
                <w:noProof/>
              </w:rPr>
              <w:t xml:space="preserve"> Costs of regulatory charging activities for TRA – business cycle 1 July 2025 to 30 June 2026.</w:t>
            </w:r>
            <w:r>
              <w:rPr>
                <w:noProof/>
                <w:webHidden/>
              </w:rPr>
              <w:tab/>
            </w:r>
            <w:r>
              <w:rPr>
                <w:noProof/>
                <w:webHidden/>
              </w:rPr>
              <w:fldChar w:fldCharType="begin"/>
            </w:r>
            <w:r>
              <w:rPr>
                <w:noProof/>
                <w:webHidden/>
              </w:rPr>
              <w:instrText xml:space="preserve"> PAGEREF _Toc197608604 \h </w:instrText>
            </w:r>
            <w:r>
              <w:rPr>
                <w:noProof/>
                <w:webHidden/>
              </w:rPr>
            </w:r>
            <w:r>
              <w:rPr>
                <w:noProof/>
                <w:webHidden/>
              </w:rPr>
              <w:fldChar w:fldCharType="separate"/>
            </w:r>
            <w:r w:rsidR="00DD3304">
              <w:rPr>
                <w:noProof/>
                <w:webHidden/>
              </w:rPr>
              <w:t>9</w:t>
            </w:r>
            <w:r>
              <w:rPr>
                <w:noProof/>
                <w:webHidden/>
              </w:rPr>
              <w:fldChar w:fldCharType="end"/>
            </w:r>
          </w:hyperlink>
        </w:p>
        <w:p w14:paraId="6C8E1F07" w14:textId="20C9E651" w:rsidR="009E6AD3" w:rsidRDefault="009E6AD3">
          <w:pPr>
            <w:pStyle w:val="TOC2"/>
            <w:tabs>
              <w:tab w:val="right" w:leader="dot" w:pos="9016"/>
            </w:tabs>
            <w:rPr>
              <w:rFonts w:eastAsiaTheme="minorEastAsia" w:cstheme="minorBidi"/>
              <w:smallCaps w:val="0"/>
              <w:noProof/>
              <w:kern w:val="2"/>
              <w:sz w:val="24"/>
              <w:szCs w:val="24"/>
              <w:lang w:eastAsia="en-AU"/>
              <w14:ligatures w14:val="standardContextual"/>
            </w:rPr>
          </w:pPr>
          <w:hyperlink w:anchor="_Toc197608605" w:history="1">
            <w:r w:rsidRPr="00A03FF5">
              <w:rPr>
                <w:rStyle w:val="Hyperlink"/>
                <w:noProof/>
              </w:rPr>
              <w:t>3.3. Design of regulatory charges</w:t>
            </w:r>
            <w:r>
              <w:rPr>
                <w:noProof/>
                <w:webHidden/>
              </w:rPr>
              <w:tab/>
            </w:r>
            <w:r>
              <w:rPr>
                <w:noProof/>
                <w:webHidden/>
              </w:rPr>
              <w:fldChar w:fldCharType="begin"/>
            </w:r>
            <w:r>
              <w:rPr>
                <w:noProof/>
                <w:webHidden/>
              </w:rPr>
              <w:instrText xml:space="preserve"> PAGEREF _Toc197608605 \h </w:instrText>
            </w:r>
            <w:r>
              <w:rPr>
                <w:noProof/>
                <w:webHidden/>
              </w:rPr>
            </w:r>
            <w:r>
              <w:rPr>
                <w:noProof/>
                <w:webHidden/>
              </w:rPr>
              <w:fldChar w:fldCharType="separate"/>
            </w:r>
            <w:r w:rsidR="00DD3304">
              <w:rPr>
                <w:noProof/>
                <w:webHidden/>
              </w:rPr>
              <w:t>9</w:t>
            </w:r>
            <w:r>
              <w:rPr>
                <w:noProof/>
                <w:webHidden/>
              </w:rPr>
              <w:fldChar w:fldCharType="end"/>
            </w:r>
          </w:hyperlink>
        </w:p>
        <w:p w14:paraId="23493D77" w14:textId="0CCAE6E2" w:rsidR="009E6AD3" w:rsidRDefault="009E6AD3">
          <w:pPr>
            <w:pStyle w:val="TOC4"/>
            <w:tabs>
              <w:tab w:val="right" w:leader="dot" w:pos="9016"/>
            </w:tabs>
            <w:rPr>
              <w:rFonts w:eastAsiaTheme="minorEastAsia" w:cstheme="minorBidi"/>
              <w:noProof/>
              <w:kern w:val="2"/>
              <w:sz w:val="24"/>
              <w:szCs w:val="24"/>
              <w:lang w:eastAsia="en-AU"/>
              <w14:ligatures w14:val="standardContextual"/>
            </w:rPr>
          </w:pPr>
          <w:hyperlink w:anchor="_Toc197608606" w:history="1">
            <w:r w:rsidRPr="00A03FF5">
              <w:rPr>
                <w:rStyle w:val="Hyperlink"/>
                <w:rFonts w:ascii="Aptos" w:hAnsi="Aptos"/>
                <w:b/>
                <w:bCs/>
                <w:noProof/>
              </w:rPr>
              <w:t>Table 3:</w:t>
            </w:r>
            <w:r w:rsidRPr="00A03FF5">
              <w:rPr>
                <w:rStyle w:val="Hyperlink"/>
                <w:rFonts w:ascii="Aptos" w:hAnsi="Aptos"/>
                <w:noProof/>
              </w:rPr>
              <w:t xml:space="preserve"> Charge rates and revenue estimates for the 1 July 2025 – 30 June 2026 business cycle</w:t>
            </w:r>
            <w:r>
              <w:rPr>
                <w:noProof/>
                <w:webHidden/>
              </w:rPr>
              <w:tab/>
            </w:r>
            <w:r>
              <w:rPr>
                <w:noProof/>
                <w:webHidden/>
              </w:rPr>
              <w:fldChar w:fldCharType="begin"/>
            </w:r>
            <w:r>
              <w:rPr>
                <w:noProof/>
                <w:webHidden/>
              </w:rPr>
              <w:instrText xml:space="preserve"> PAGEREF _Toc197608606 \h </w:instrText>
            </w:r>
            <w:r>
              <w:rPr>
                <w:noProof/>
                <w:webHidden/>
              </w:rPr>
            </w:r>
            <w:r>
              <w:rPr>
                <w:noProof/>
                <w:webHidden/>
              </w:rPr>
              <w:fldChar w:fldCharType="separate"/>
            </w:r>
            <w:r w:rsidR="00DD3304">
              <w:rPr>
                <w:noProof/>
                <w:webHidden/>
              </w:rPr>
              <w:t>10</w:t>
            </w:r>
            <w:r>
              <w:rPr>
                <w:noProof/>
                <w:webHidden/>
              </w:rPr>
              <w:fldChar w:fldCharType="end"/>
            </w:r>
          </w:hyperlink>
        </w:p>
        <w:p w14:paraId="4BC7C3B0" w14:textId="567F3920"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607" w:history="1">
            <w:r w:rsidRPr="00A03FF5">
              <w:rPr>
                <w:rStyle w:val="Hyperlink"/>
                <w:lang w:eastAsia="en-AU"/>
              </w:rPr>
              <w:t>4.  Risk assessment</w:t>
            </w:r>
            <w:r>
              <w:rPr>
                <w:webHidden/>
              </w:rPr>
              <w:tab/>
            </w:r>
            <w:r>
              <w:rPr>
                <w:webHidden/>
              </w:rPr>
              <w:fldChar w:fldCharType="begin"/>
            </w:r>
            <w:r>
              <w:rPr>
                <w:webHidden/>
              </w:rPr>
              <w:instrText xml:space="preserve"> PAGEREF _Toc197608607 \h </w:instrText>
            </w:r>
            <w:r>
              <w:rPr>
                <w:webHidden/>
              </w:rPr>
            </w:r>
            <w:r>
              <w:rPr>
                <w:webHidden/>
              </w:rPr>
              <w:fldChar w:fldCharType="separate"/>
            </w:r>
            <w:r w:rsidR="00DD3304">
              <w:rPr>
                <w:webHidden/>
              </w:rPr>
              <w:t>11</w:t>
            </w:r>
            <w:r>
              <w:rPr>
                <w:webHidden/>
              </w:rPr>
              <w:fldChar w:fldCharType="end"/>
            </w:r>
          </w:hyperlink>
        </w:p>
        <w:p w14:paraId="49AB1F63" w14:textId="6E740816"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608" w:history="1">
            <w:r w:rsidRPr="00A03FF5">
              <w:rPr>
                <w:rStyle w:val="Hyperlink"/>
                <w:lang w:eastAsia="en-AU"/>
              </w:rPr>
              <w:t>5.  Stakeholder Engagement</w:t>
            </w:r>
            <w:r>
              <w:rPr>
                <w:webHidden/>
              </w:rPr>
              <w:tab/>
            </w:r>
            <w:r>
              <w:rPr>
                <w:webHidden/>
              </w:rPr>
              <w:fldChar w:fldCharType="begin"/>
            </w:r>
            <w:r>
              <w:rPr>
                <w:webHidden/>
              </w:rPr>
              <w:instrText xml:space="preserve"> PAGEREF _Toc197608608 \h </w:instrText>
            </w:r>
            <w:r>
              <w:rPr>
                <w:webHidden/>
              </w:rPr>
            </w:r>
            <w:r>
              <w:rPr>
                <w:webHidden/>
              </w:rPr>
              <w:fldChar w:fldCharType="separate"/>
            </w:r>
            <w:r w:rsidR="00DD3304">
              <w:rPr>
                <w:webHidden/>
              </w:rPr>
              <w:t>11</w:t>
            </w:r>
            <w:r>
              <w:rPr>
                <w:webHidden/>
              </w:rPr>
              <w:fldChar w:fldCharType="end"/>
            </w:r>
          </w:hyperlink>
        </w:p>
        <w:p w14:paraId="44DFFABF" w14:textId="366CB25C"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609" w:history="1">
            <w:r w:rsidRPr="00A03FF5">
              <w:rPr>
                <w:rStyle w:val="Hyperlink"/>
                <w:lang w:eastAsia="en-AU"/>
              </w:rPr>
              <w:t>6.  Financial estimates</w:t>
            </w:r>
            <w:r>
              <w:rPr>
                <w:webHidden/>
              </w:rPr>
              <w:tab/>
            </w:r>
            <w:r>
              <w:rPr>
                <w:webHidden/>
              </w:rPr>
              <w:fldChar w:fldCharType="begin"/>
            </w:r>
            <w:r>
              <w:rPr>
                <w:webHidden/>
              </w:rPr>
              <w:instrText xml:space="preserve"> PAGEREF _Toc197608609 \h </w:instrText>
            </w:r>
            <w:r>
              <w:rPr>
                <w:webHidden/>
              </w:rPr>
            </w:r>
            <w:r>
              <w:rPr>
                <w:webHidden/>
              </w:rPr>
              <w:fldChar w:fldCharType="separate"/>
            </w:r>
            <w:r w:rsidR="00DD3304">
              <w:rPr>
                <w:webHidden/>
              </w:rPr>
              <w:t>12</w:t>
            </w:r>
            <w:r>
              <w:rPr>
                <w:webHidden/>
              </w:rPr>
              <w:fldChar w:fldCharType="end"/>
            </w:r>
          </w:hyperlink>
        </w:p>
        <w:p w14:paraId="5FA34CCC" w14:textId="300B5CC6" w:rsidR="009E6AD3" w:rsidRDefault="009E6AD3">
          <w:pPr>
            <w:pStyle w:val="TOC4"/>
            <w:tabs>
              <w:tab w:val="right" w:leader="dot" w:pos="9016"/>
            </w:tabs>
            <w:rPr>
              <w:rFonts w:eastAsiaTheme="minorEastAsia" w:cstheme="minorBidi"/>
              <w:noProof/>
              <w:kern w:val="2"/>
              <w:sz w:val="24"/>
              <w:szCs w:val="24"/>
              <w:lang w:eastAsia="en-AU"/>
              <w14:ligatures w14:val="standardContextual"/>
            </w:rPr>
          </w:pPr>
          <w:hyperlink w:anchor="_Toc197608610" w:history="1">
            <w:r w:rsidRPr="00A03FF5">
              <w:rPr>
                <w:rStyle w:val="Hyperlink"/>
                <w:rFonts w:ascii="Aptos" w:hAnsi="Aptos"/>
                <w:b/>
                <w:bCs/>
                <w:noProof/>
              </w:rPr>
              <w:t xml:space="preserve">Table 4: </w:t>
            </w:r>
            <w:r w:rsidRPr="00A03FF5">
              <w:rPr>
                <w:rStyle w:val="Hyperlink"/>
                <w:rFonts w:ascii="Aptos" w:hAnsi="Aptos"/>
                <w:noProof/>
              </w:rPr>
              <w:t>Financial estimates 1 July 2023 – 30 June 2027</w:t>
            </w:r>
            <w:r>
              <w:rPr>
                <w:noProof/>
                <w:webHidden/>
              </w:rPr>
              <w:tab/>
            </w:r>
            <w:r>
              <w:rPr>
                <w:noProof/>
                <w:webHidden/>
              </w:rPr>
              <w:fldChar w:fldCharType="begin"/>
            </w:r>
            <w:r>
              <w:rPr>
                <w:noProof/>
                <w:webHidden/>
              </w:rPr>
              <w:instrText xml:space="preserve"> PAGEREF _Toc197608610 \h </w:instrText>
            </w:r>
            <w:r>
              <w:rPr>
                <w:noProof/>
                <w:webHidden/>
              </w:rPr>
            </w:r>
            <w:r>
              <w:rPr>
                <w:noProof/>
                <w:webHidden/>
              </w:rPr>
              <w:fldChar w:fldCharType="separate"/>
            </w:r>
            <w:r w:rsidR="00DD3304">
              <w:rPr>
                <w:noProof/>
                <w:webHidden/>
              </w:rPr>
              <w:t>12</w:t>
            </w:r>
            <w:r>
              <w:rPr>
                <w:noProof/>
                <w:webHidden/>
              </w:rPr>
              <w:fldChar w:fldCharType="end"/>
            </w:r>
          </w:hyperlink>
        </w:p>
        <w:p w14:paraId="16C61F07" w14:textId="05F060C0"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611" w:history="1">
            <w:r w:rsidRPr="00A03FF5">
              <w:rPr>
                <w:rStyle w:val="Hyperlink"/>
                <w:lang w:eastAsia="en-AU"/>
              </w:rPr>
              <w:t>7a.  Financial performance</w:t>
            </w:r>
            <w:r>
              <w:rPr>
                <w:webHidden/>
              </w:rPr>
              <w:tab/>
            </w:r>
            <w:r>
              <w:rPr>
                <w:webHidden/>
              </w:rPr>
              <w:fldChar w:fldCharType="begin"/>
            </w:r>
            <w:r>
              <w:rPr>
                <w:webHidden/>
              </w:rPr>
              <w:instrText xml:space="preserve"> PAGEREF _Toc197608611 \h </w:instrText>
            </w:r>
            <w:r>
              <w:rPr>
                <w:webHidden/>
              </w:rPr>
            </w:r>
            <w:r>
              <w:rPr>
                <w:webHidden/>
              </w:rPr>
              <w:fldChar w:fldCharType="separate"/>
            </w:r>
            <w:r w:rsidR="00DD3304">
              <w:rPr>
                <w:webHidden/>
              </w:rPr>
              <w:t>13</w:t>
            </w:r>
            <w:r>
              <w:rPr>
                <w:webHidden/>
              </w:rPr>
              <w:fldChar w:fldCharType="end"/>
            </w:r>
          </w:hyperlink>
        </w:p>
        <w:p w14:paraId="49A11F1E" w14:textId="612AFE14"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612" w:history="1">
            <w:r w:rsidRPr="00A03FF5">
              <w:rPr>
                <w:rStyle w:val="Hyperlink"/>
                <w:lang w:eastAsia="en-AU"/>
              </w:rPr>
              <w:t>7b.  Non-financial performance</w:t>
            </w:r>
            <w:r>
              <w:rPr>
                <w:webHidden/>
              </w:rPr>
              <w:tab/>
            </w:r>
            <w:r>
              <w:rPr>
                <w:webHidden/>
              </w:rPr>
              <w:fldChar w:fldCharType="begin"/>
            </w:r>
            <w:r>
              <w:rPr>
                <w:webHidden/>
              </w:rPr>
              <w:instrText xml:space="preserve"> PAGEREF _Toc197608612 \h </w:instrText>
            </w:r>
            <w:r>
              <w:rPr>
                <w:webHidden/>
              </w:rPr>
            </w:r>
            <w:r>
              <w:rPr>
                <w:webHidden/>
              </w:rPr>
              <w:fldChar w:fldCharType="separate"/>
            </w:r>
            <w:r w:rsidR="00DD3304">
              <w:rPr>
                <w:webHidden/>
              </w:rPr>
              <w:t>13</w:t>
            </w:r>
            <w:r>
              <w:rPr>
                <w:webHidden/>
              </w:rPr>
              <w:fldChar w:fldCharType="end"/>
            </w:r>
          </w:hyperlink>
        </w:p>
        <w:p w14:paraId="453397FE" w14:textId="55C5CFAB" w:rsidR="009E6AD3" w:rsidRDefault="009E6AD3">
          <w:pPr>
            <w:pStyle w:val="TOC4"/>
            <w:tabs>
              <w:tab w:val="right" w:leader="dot" w:pos="9016"/>
            </w:tabs>
            <w:rPr>
              <w:rFonts w:eastAsiaTheme="minorEastAsia" w:cstheme="minorBidi"/>
              <w:noProof/>
              <w:kern w:val="2"/>
              <w:sz w:val="24"/>
              <w:szCs w:val="24"/>
              <w:lang w:eastAsia="en-AU"/>
              <w14:ligatures w14:val="standardContextual"/>
            </w:rPr>
          </w:pPr>
          <w:hyperlink w:anchor="_Toc197608613" w:history="1">
            <w:r w:rsidRPr="00A03FF5">
              <w:rPr>
                <w:rStyle w:val="Hyperlink"/>
                <w:rFonts w:ascii="Aptos" w:hAnsi="Aptos"/>
                <w:b/>
                <w:bCs/>
                <w:noProof/>
              </w:rPr>
              <w:t>Table 5: Historical and forecast volume actuals and estimates</w:t>
            </w:r>
            <w:r>
              <w:rPr>
                <w:noProof/>
                <w:webHidden/>
              </w:rPr>
              <w:tab/>
            </w:r>
            <w:r>
              <w:rPr>
                <w:noProof/>
                <w:webHidden/>
              </w:rPr>
              <w:fldChar w:fldCharType="begin"/>
            </w:r>
            <w:r>
              <w:rPr>
                <w:noProof/>
                <w:webHidden/>
              </w:rPr>
              <w:instrText xml:space="preserve"> PAGEREF _Toc197608613 \h </w:instrText>
            </w:r>
            <w:r>
              <w:rPr>
                <w:noProof/>
                <w:webHidden/>
              </w:rPr>
            </w:r>
            <w:r>
              <w:rPr>
                <w:noProof/>
                <w:webHidden/>
              </w:rPr>
              <w:fldChar w:fldCharType="separate"/>
            </w:r>
            <w:r w:rsidR="00DD3304">
              <w:rPr>
                <w:noProof/>
                <w:webHidden/>
              </w:rPr>
              <w:t>14</w:t>
            </w:r>
            <w:r>
              <w:rPr>
                <w:noProof/>
                <w:webHidden/>
              </w:rPr>
              <w:fldChar w:fldCharType="end"/>
            </w:r>
          </w:hyperlink>
        </w:p>
        <w:p w14:paraId="675AB9CC" w14:textId="0166A97E"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614" w:history="1">
            <w:r w:rsidRPr="00A03FF5">
              <w:rPr>
                <w:rStyle w:val="Hyperlink"/>
                <w:lang w:eastAsia="en-AU"/>
              </w:rPr>
              <w:t>8. Key forward dates and events</w:t>
            </w:r>
            <w:r>
              <w:rPr>
                <w:webHidden/>
              </w:rPr>
              <w:tab/>
            </w:r>
            <w:r>
              <w:rPr>
                <w:webHidden/>
              </w:rPr>
              <w:fldChar w:fldCharType="begin"/>
            </w:r>
            <w:r>
              <w:rPr>
                <w:webHidden/>
              </w:rPr>
              <w:instrText xml:space="preserve"> PAGEREF _Toc197608614 \h </w:instrText>
            </w:r>
            <w:r>
              <w:rPr>
                <w:webHidden/>
              </w:rPr>
            </w:r>
            <w:r>
              <w:rPr>
                <w:webHidden/>
              </w:rPr>
              <w:fldChar w:fldCharType="separate"/>
            </w:r>
            <w:r w:rsidR="00DD3304">
              <w:rPr>
                <w:webHidden/>
              </w:rPr>
              <w:t>15</w:t>
            </w:r>
            <w:r>
              <w:rPr>
                <w:webHidden/>
              </w:rPr>
              <w:fldChar w:fldCharType="end"/>
            </w:r>
          </w:hyperlink>
        </w:p>
        <w:p w14:paraId="1E96AEBD" w14:textId="1F528ED7" w:rsidR="009E6AD3" w:rsidRDefault="009E6AD3">
          <w:pPr>
            <w:pStyle w:val="TOC1"/>
            <w:rPr>
              <w:rFonts w:eastAsiaTheme="minorEastAsia" w:cstheme="minorBidi"/>
              <w:b w:val="0"/>
              <w:bCs w:val="0"/>
              <w:caps w:val="0"/>
              <w:color w:val="auto"/>
              <w:kern w:val="2"/>
              <w:sz w:val="24"/>
              <w:szCs w:val="24"/>
              <w:lang w:eastAsia="en-AU"/>
              <w14:ligatures w14:val="standardContextual"/>
            </w:rPr>
          </w:pPr>
          <w:hyperlink w:anchor="_Toc197608615" w:history="1">
            <w:r w:rsidRPr="00A03FF5">
              <w:rPr>
                <w:rStyle w:val="Hyperlink"/>
                <w:lang w:eastAsia="en-AU"/>
              </w:rPr>
              <w:t>9.  CRIS approval and change register</w:t>
            </w:r>
            <w:r>
              <w:rPr>
                <w:webHidden/>
              </w:rPr>
              <w:tab/>
            </w:r>
            <w:r>
              <w:rPr>
                <w:webHidden/>
              </w:rPr>
              <w:fldChar w:fldCharType="begin"/>
            </w:r>
            <w:r>
              <w:rPr>
                <w:webHidden/>
              </w:rPr>
              <w:instrText xml:space="preserve"> PAGEREF _Toc197608615 \h </w:instrText>
            </w:r>
            <w:r>
              <w:rPr>
                <w:webHidden/>
              </w:rPr>
            </w:r>
            <w:r>
              <w:rPr>
                <w:webHidden/>
              </w:rPr>
              <w:fldChar w:fldCharType="separate"/>
            </w:r>
            <w:r w:rsidR="00DD3304">
              <w:rPr>
                <w:webHidden/>
              </w:rPr>
              <w:t>15</w:t>
            </w:r>
            <w:r>
              <w:rPr>
                <w:webHidden/>
              </w:rPr>
              <w:fldChar w:fldCharType="end"/>
            </w:r>
          </w:hyperlink>
        </w:p>
        <w:p w14:paraId="4410E66C" w14:textId="05717099" w:rsidR="00EF3E72" w:rsidRPr="00165D8C" w:rsidRDefault="006D0228">
          <w:pPr>
            <w:rPr>
              <w:rFonts w:ascii="Aptos" w:hAnsi="Aptos"/>
            </w:rPr>
          </w:pPr>
          <w:r w:rsidRPr="00B4108F">
            <w:rPr>
              <w:rFonts w:ascii="Aptos" w:hAnsi="Aptos" w:cstheme="minorHAnsi"/>
              <w:b/>
              <w:bCs/>
              <w:caps/>
              <w:sz w:val="20"/>
              <w:szCs w:val="20"/>
            </w:rPr>
            <w:fldChar w:fldCharType="end"/>
          </w:r>
        </w:p>
      </w:sdtContent>
    </w:sdt>
    <w:p w14:paraId="6884D184" w14:textId="4A66B48E" w:rsidR="00BE3107" w:rsidRPr="00165D8C" w:rsidRDefault="00BE3107" w:rsidP="0028250C">
      <w:pPr>
        <w:rPr>
          <w:rFonts w:ascii="Aptos" w:hAnsi="Aptos"/>
        </w:rPr>
      </w:pPr>
    </w:p>
    <w:p w14:paraId="6129923C" w14:textId="12DC0228" w:rsidR="00BE3107" w:rsidRPr="00165D8C" w:rsidRDefault="00BE3107" w:rsidP="0028250C">
      <w:pPr>
        <w:rPr>
          <w:rFonts w:ascii="Aptos" w:hAnsi="Aptos"/>
        </w:rPr>
      </w:pPr>
    </w:p>
    <w:p w14:paraId="1D4B83C3" w14:textId="750A9166" w:rsidR="00BE3107" w:rsidRPr="00165D8C" w:rsidRDefault="00BE3107" w:rsidP="0028250C">
      <w:pPr>
        <w:rPr>
          <w:rFonts w:ascii="Aptos" w:hAnsi="Aptos"/>
        </w:rPr>
      </w:pPr>
    </w:p>
    <w:p w14:paraId="49CCBA0B" w14:textId="77777777" w:rsidR="00BE3107" w:rsidRPr="00165D8C" w:rsidRDefault="00BE3107" w:rsidP="0028250C">
      <w:pPr>
        <w:rPr>
          <w:rFonts w:ascii="Aptos" w:hAnsi="Aptos"/>
        </w:rPr>
        <w:sectPr w:rsidR="00BE3107" w:rsidRPr="00165D8C">
          <w:pgSz w:w="11906" w:h="16838"/>
          <w:pgMar w:top="1440" w:right="1440" w:bottom="1440" w:left="1440" w:header="708" w:footer="708" w:gutter="0"/>
          <w:cols w:space="708"/>
          <w:docGrid w:linePitch="360"/>
        </w:sectPr>
      </w:pPr>
    </w:p>
    <w:p w14:paraId="3178F3C9" w14:textId="7EC1171E" w:rsidR="00BE3107" w:rsidRPr="002D3BB2" w:rsidRDefault="00BE3107" w:rsidP="002D3BB2">
      <w:pPr>
        <w:pStyle w:val="Heading1"/>
        <w:shd w:val="clear" w:color="auto" w:fill="404246"/>
        <w:rPr>
          <w:color w:val="FFFFFF" w:themeColor="background1"/>
        </w:rPr>
      </w:pPr>
      <w:bookmarkStart w:id="1" w:name="_Toc197608584"/>
      <w:r w:rsidRPr="002D3BB2">
        <w:rPr>
          <w:color w:val="FFFFFF" w:themeColor="background1"/>
        </w:rPr>
        <w:lastRenderedPageBreak/>
        <w:t xml:space="preserve">1. </w:t>
      </w:r>
      <w:r w:rsidR="00907728" w:rsidRPr="002D3BB2">
        <w:rPr>
          <w:color w:val="FFFFFF" w:themeColor="background1"/>
        </w:rPr>
        <w:t>INTRODUCTION</w:t>
      </w:r>
      <w:bookmarkEnd w:id="1"/>
    </w:p>
    <w:p w14:paraId="1A24E226" w14:textId="0DF8980E" w:rsidR="00BE3107" w:rsidRPr="00F77513" w:rsidRDefault="00BE3107" w:rsidP="003A4B70">
      <w:pPr>
        <w:pStyle w:val="Heading2"/>
        <w:spacing w:line="276" w:lineRule="auto"/>
        <w:rPr>
          <w:color w:val="5D7A38"/>
        </w:rPr>
      </w:pPr>
      <w:bookmarkStart w:id="2" w:name="_Toc197608585"/>
      <w:r w:rsidRPr="00F77513">
        <w:rPr>
          <w:color w:val="5D7A38"/>
        </w:rPr>
        <w:t>1.1</w:t>
      </w:r>
      <w:r w:rsidR="007B2626" w:rsidRPr="00F77513">
        <w:rPr>
          <w:color w:val="5D7A38"/>
        </w:rPr>
        <w:t>.</w:t>
      </w:r>
      <w:r w:rsidRPr="00F77513">
        <w:rPr>
          <w:color w:val="5D7A38"/>
        </w:rPr>
        <w:t xml:space="preserve"> Purpose</w:t>
      </w:r>
      <w:bookmarkEnd w:id="2"/>
    </w:p>
    <w:p w14:paraId="7B744B07" w14:textId="6D638DAC" w:rsidR="00BE3107" w:rsidRPr="005314E1" w:rsidRDefault="00BE3107" w:rsidP="003A4B70">
      <w:pPr>
        <w:spacing w:line="276" w:lineRule="auto"/>
        <w:rPr>
          <w:rFonts w:ascii="Aptos" w:hAnsi="Aptos"/>
        </w:rPr>
      </w:pPr>
      <w:r w:rsidRPr="005314E1">
        <w:rPr>
          <w:rFonts w:ascii="Aptos" w:hAnsi="Aptos"/>
        </w:rPr>
        <w:t xml:space="preserve">This Cost Recovery Implementation Statement (CRIS) provides information on how Trades Recognition Australia implements cost recovery for its </w:t>
      </w:r>
      <w:r w:rsidR="00D1060D" w:rsidRPr="005314E1">
        <w:rPr>
          <w:rFonts w:ascii="Aptos" w:hAnsi="Aptos"/>
        </w:rPr>
        <w:t>six</w:t>
      </w:r>
      <w:r w:rsidRPr="005314E1">
        <w:rPr>
          <w:rFonts w:ascii="Aptos" w:hAnsi="Aptos"/>
        </w:rPr>
        <w:t xml:space="preserve"> assessment pathways of: </w:t>
      </w:r>
    </w:p>
    <w:p w14:paraId="4C854FE6" w14:textId="5D217F08" w:rsidR="00D1060D" w:rsidRPr="005314E1" w:rsidRDefault="002E0D4B" w:rsidP="00672770">
      <w:pPr>
        <w:pStyle w:val="ListParagraph"/>
        <w:rPr>
          <w:rFonts w:ascii="Aptos" w:hAnsi="Aptos"/>
        </w:rPr>
      </w:pPr>
      <w:r w:rsidRPr="005314E1">
        <w:rPr>
          <w:rFonts w:ascii="Aptos" w:hAnsi="Aptos"/>
        </w:rPr>
        <w:t>Provisional</w:t>
      </w:r>
      <w:r w:rsidR="00D1060D" w:rsidRPr="005314E1">
        <w:rPr>
          <w:rFonts w:ascii="Aptos" w:hAnsi="Aptos"/>
        </w:rPr>
        <w:t xml:space="preserve"> </w:t>
      </w:r>
      <w:r w:rsidRPr="005314E1">
        <w:rPr>
          <w:rFonts w:ascii="Aptos" w:hAnsi="Aptos"/>
        </w:rPr>
        <w:t>Skills Assessment</w:t>
      </w:r>
    </w:p>
    <w:p w14:paraId="72CE840A" w14:textId="1F3EEFE1" w:rsidR="00672770" w:rsidRPr="005314E1" w:rsidRDefault="00BE3107" w:rsidP="00672770">
      <w:pPr>
        <w:pStyle w:val="ListParagraph"/>
        <w:rPr>
          <w:rFonts w:ascii="Aptos" w:hAnsi="Aptos"/>
        </w:rPr>
      </w:pPr>
      <w:r w:rsidRPr="005314E1">
        <w:rPr>
          <w:rFonts w:ascii="Aptos" w:hAnsi="Aptos"/>
        </w:rPr>
        <w:t>Job Ready Program</w:t>
      </w:r>
    </w:p>
    <w:p w14:paraId="38B65CCA" w14:textId="77777777" w:rsidR="00AD223D" w:rsidRPr="005314E1" w:rsidRDefault="00AD223D" w:rsidP="0028250C">
      <w:pPr>
        <w:pStyle w:val="ListParagraph"/>
        <w:rPr>
          <w:rFonts w:ascii="Aptos" w:hAnsi="Aptos"/>
        </w:rPr>
      </w:pPr>
      <w:r w:rsidRPr="005314E1">
        <w:rPr>
          <w:rFonts w:ascii="Aptos" w:hAnsi="Aptos"/>
        </w:rPr>
        <w:t>Migration Skills Assessment</w:t>
      </w:r>
    </w:p>
    <w:p w14:paraId="56C9AFEF" w14:textId="40CE13B6" w:rsidR="00BE3107" w:rsidRPr="005314E1" w:rsidRDefault="00BE3107" w:rsidP="0028250C">
      <w:pPr>
        <w:pStyle w:val="ListParagraph"/>
        <w:rPr>
          <w:rFonts w:ascii="Aptos" w:hAnsi="Aptos"/>
        </w:rPr>
      </w:pPr>
      <w:r w:rsidRPr="005314E1">
        <w:rPr>
          <w:rFonts w:ascii="Aptos" w:hAnsi="Aptos"/>
        </w:rPr>
        <w:t>Migration Points Advice</w:t>
      </w:r>
    </w:p>
    <w:p w14:paraId="63985F88" w14:textId="6F293AF5" w:rsidR="00BE3107" w:rsidRPr="005314E1" w:rsidRDefault="00BE3107" w:rsidP="0028250C">
      <w:pPr>
        <w:pStyle w:val="ListParagraph"/>
        <w:rPr>
          <w:rFonts w:ascii="Aptos" w:hAnsi="Aptos"/>
        </w:rPr>
      </w:pPr>
      <w:r w:rsidRPr="005314E1">
        <w:rPr>
          <w:rFonts w:ascii="Aptos" w:hAnsi="Aptos"/>
        </w:rPr>
        <w:t xml:space="preserve">RTO Assessment Services: Offshore Skills Assessment Program and </w:t>
      </w:r>
    </w:p>
    <w:p w14:paraId="14048F2B" w14:textId="52ACFD2B" w:rsidR="00BE3107" w:rsidRPr="005314E1" w:rsidRDefault="00BE3107" w:rsidP="0028250C">
      <w:pPr>
        <w:pStyle w:val="ListParagraph"/>
        <w:rPr>
          <w:rFonts w:ascii="Aptos" w:hAnsi="Aptos"/>
        </w:rPr>
      </w:pPr>
      <w:r w:rsidRPr="005314E1">
        <w:rPr>
          <w:rFonts w:ascii="Aptos" w:hAnsi="Aptos"/>
        </w:rPr>
        <w:t xml:space="preserve">RTO Assessment Services: Temporary Skills Shortage Skills Assessment Program. </w:t>
      </w:r>
    </w:p>
    <w:p w14:paraId="3AB44745" w14:textId="63EBEEBB" w:rsidR="002E2585" w:rsidRPr="005314E1" w:rsidRDefault="00BE3107" w:rsidP="0028250C">
      <w:pPr>
        <w:rPr>
          <w:rFonts w:ascii="Aptos" w:hAnsi="Aptos"/>
        </w:rPr>
      </w:pPr>
      <w:r w:rsidRPr="005314E1">
        <w:rPr>
          <w:rFonts w:ascii="Aptos" w:hAnsi="Aptos"/>
        </w:rPr>
        <w:t>The CRIS also reports financial and non</w:t>
      </w:r>
      <w:r w:rsidRPr="005314E1">
        <w:rPr>
          <w:rFonts w:ascii="Aptos" w:hAnsi="Aptos"/>
        </w:rPr>
        <w:noBreakHyphen/>
        <w:t xml:space="preserve">financial performance information for these </w:t>
      </w:r>
      <w:r w:rsidR="007D2FA8" w:rsidRPr="005314E1">
        <w:rPr>
          <w:rFonts w:ascii="Aptos" w:hAnsi="Aptos"/>
        </w:rPr>
        <w:t>Trades Recognition Australia</w:t>
      </w:r>
      <w:r w:rsidR="007D2FA8" w:rsidRPr="005314E1" w:rsidDel="007D2FA8">
        <w:rPr>
          <w:rFonts w:ascii="Aptos" w:hAnsi="Aptos"/>
        </w:rPr>
        <w:t xml:space="preserve"> </w:t>
      </w:r>
      <w:r w:rsidRPr="005314E1">
        <w:rPr>
          <w:rFonts w:ascii="Aptos" w:hAnsi="Aptos"/>
        </w:rPr>
        <w:t>services and contains financial forecasts f</w:t>
      </w:r>
      <w:r w:rsidR="00672770" w:rsidRPr="005314E1">
        <w:rPr>
          <w:rFonts w:ascii="Aptos" w:hAnsi="Aptos"/>
        </w:rPr>
        <w:t>or</w:t>
      </w:r>
      <w:r w:rsidRPr="005314E1">
        <w:rPr>
          <w:rFonts w:ascii="Aptos" w:hAnsi="Aptos"/>
        </w:rPr>
        <w:t xml:space="preserve"> 202</w:t>
      </w:r>
      <w:r w:rsidR="008F4B85" w:rsidRPr="005314E1">
        <w:rPr>
          <w:rFonts w:ascii="Aptos" w:hAnsi="Aptos"/>
        </w:rPr>
        <w:t>3</w:t>
      </w:r>
      <w:r w:rsidRPr="005314E1">
        <w:rPr>
          <w:rFonts w:ascii="Aptos" w:hAnsi="Aptos"/>
        </w:rPr>
        <w:t>-2</w:t>
      </w:r>
      <w:r w:rsidR="008F4B85" w:rsidRPr="005314E1">
        <w:rPr>
          <w:rFonts w:ascii="Aptos" w:hAnsi="Aptos"/>
        </w:rPr>
        <w:t>4</w:t>
      </w:r>
      <w:r w:rsidRPr="005314E1">
        <w:rPr>
          <w:rFonts w:ascii="Aptos" w:hAnsi="Aptos"/>
        </w:rPr>
        <w:t xml:space="preserve"> and three forward years. The Department of Employment and Workplace Relations (the Department) will maintain the CRIS until the activity or cost recovery for the activity has been discontinued.</w:t>
      </w:r>
    </w:p>
    <w:p w14:paraId="001235F0" w14:textId="7CFDC96F" w:rsidR="00CD7AA3" w:rsidRPr="00F77513" w:rsidRDefault="00BE3107" w:rsidP="003A4B70">
      <w:pPr>
        <w:pStyle w:val="Heading2"/>
        <w:spacing w:line="276" w:lineRule="auto"/>
        <w:rPr>
          <w:color w:val="5D7A38"/>
        </w:rPr>
      </w:pPr>
      <w:bookmarkStart w:id="3" w:name="_Toc197608586"/>
      <w:r w:rsidRPr="00F77513">
        <w:rPr>
          <w:color w:val="5D7A38"/>
        </w:rPr>
        <w:t>1.2</w:t>
      </w:r>
      <w:r w:rsidR="007B2626" w:rsidRPr="00F77513">
        <w:rPr>
          <w:color w:val="5D7A38"/>
        </w:rPr>
        <w:t>.</w:t>
      </w:r>
      <w:r w:rsidRPr="00F77513">
        <w:rPr>
          <w:color w:val="5D7A38"/>
        </w:rPr>
        <w:t xml:space="preserve"> Trades Recognition Australia</w:t>
      </w:r>
      <w:bookmarkEnd w:id="3"/>
      <w:r w:rsidRPr="00F77513">
        <w:rPr>
          <w:color w:val="5D7A38"/>
        </w:rPr>
        <w:t xml:space="preserve"> </w:t>
      </w:r>
    </w:p>
    <w:p w14:paraId="03BE28AD" w14:textId="5A076192" w:rsidR="0099130E" w:rsidRPr="005314E1" w:rsidRDefault="00B55394" w:rsidP="005314E1">
      <w:pPr>
        <w:rPr>
          <w:rFonts w:ascii="Aptos" w:hAnsi="Aptos"/>
        </w:rPr>
      </w:pPr>
      <w:r w:rsidRPr="005314E1">
        <w:rPr>
          <w:rFonts w:ascii="Aptos" w:hAnsi="Aptos"/>
        </w:rPr>
        <w:t xml:space="preserve">Trades Recognition Australia (TRA) is an approved skilled migration assessing authority, authorised under the </w:t>
      </w:r>
      <w:r w:rsidR="00CC6C09" w:rsidRPr="005314E1">
        <w:rPr>
          <w:rFonts w:ascii="Aptos" w:hAnsi="Aptos"/>
        </w:rPr>
        <w:t>Migration Regulations 1994 (Migration Regulations)</w:t>
      </w:r>
      <w:r w:rsidRPr="005314E1">
        <w:rPr>
          <w:rFonts w:ascii="Aptos" w:hAnsi="Aptos"/>
        </w:rPr>
        <w:t xml:space="preserve">, offering skills assessments for people with trade skills gained overseas or in Australia for the purpose of migration. </w:t>
      </w:r>
    </w:p>
    <w:p w14:paraId="3CCC6ADD" w14:textId="3A980A04" w:rsidR="00D97B92" w:rsidRPr="005314E1" w:rsidRDefault="00B55394" w:rsidP="005314E1">
      <w:pPr>
        <w:rPr>
          <w:rFonts w:ascii="Aptos" w:hAnsi="Aptos"/>
        </w:rPr>
      </w:pPr>
      <w:r w:rsidRPr="005314E1">
        <w:rPr>
          <w:rFonts w:ascii="Aptos" w:hAnsi="Aptos"/>
        </w:rPr>
        <w:t>Skills assessments are intended to ensure an applicant can perform at the required skill level for their nominated occupation in an Australian workplace. Skills assessments also give assurance to government and the individual that their training and experience is relevant and appropriate for the Australian labour market</w:t>
      </w:r>
      <w:r w:rsidR="0099130E" w:rsidRPr="005314E1">
        <w:rPr>
          <w:rFonts w:ascii="Aptos" w:hAnsi="Aptos"/>
        </w:rPr>
        <w:t>.</w:t>
      </w:r>
    </w:p>
    <w:p w14:paraId="428DEA9F" w14:textId="21F490C5" w:rsidR="00BE3107" w:rsidRPr="005314E1" w:rsidRDefault="00105672" w:rsidP="0028250C">
      <w:pPr>
        <w:rPr>
          <w:rFonts w:ascii="Aptos" w:hAnsi="Aptos"/>
        </w:rPr>
      </w:pPr>
      <w:r>
        <w:rPr>
          <w:rFonts w:ascii="Aptos" w:hAnsi="Aptos"/>
        </w:rPr>
        <w:t>This</w:t>
      </w:r>
      <w:r w:rsidR="00BE3107" w:rsidRPr="005314E1">
        <w:rPr>
          <w:rFonts w:ascii="Aptos" w:hAnsi="Aptos"/>
        </w:rPr>
        <w:t xml:space="preserve"> is an output to achieve the Government’s skilled migration policy outcomes to attract migrants that make a significant contribution to the Australian economy and fill positions where no Australian workers are available.</w:t>
      </w:r>
    </w:p>
    <w:p w14:paraId="03FAB3A6" w14:textId="4DDEDED6" w:rsidR="00BE3107" w:rsidRPr="005314E1" w:rsidRDefault="007D2FA8" w:rsidP="00CD7AA3">
      <w:pPr>
        <w:pStyle w:val="Default"/>
        <w:spacing w:after="120"/>
        <w:rPr>
          <w:rFonts w:ascii="Aptos" w:eastAsiaTheme="minorHAnsi" w:hAnsi="Aptos" w:cstheme="minorBidi"/>
          <w:color w:val="auto"/>
          <w:sz w:val="22"/>
          <w:szCs w:val="22"/>
          <w:lang w:eastAsia="en-US"/>
        </w:rPr>
      </w:pPr>
      <w:r w:rsidRPr="005314E1">
        <w:rPr>
          <w:rFonts w:ascii="Aptos" w:eastAsiaTheme="minorHAnsi" w:hAnsi="Aptos" w:cstheme="minorBidi"/>
          <w:color w:val="auto"/>
          <w:sz w:val="22"/>
          <w:szCs w:val="22"/>
          <w:lang w:eastAsia="en-US"/>
        </w:rPr>
        <w:t>Trades Recognition Australia</w:t>
      </w:r>
      <w:r w:rsidRPr="005314E1" w:rsidDel="007D2FA8">
        <w:rPr>
          <w:rFonts w:ascii="Aptos" w:eastAsiaTheme="minorHAnsi" w:hAnsi="Aptos" w:cstheme="minorBidi"/>
          <w:color w:val="auto"/>
          <w:sz w:val="22"/>
          <w:szCs w:val="22"/>
          <w:lang w:eastAsia="en-US"/>
        </w:rPr>
        <w:t xml:space="preserve"> </w:t>
      </w:r>
      <w:r w:rsidR="00BE3107" w:rsidRPr="005314E1">
        <w:rPr>
          <w:rFonts w:ascii="Aptos" w:eastAsiaTheme="minorHAnsi" w:hAnsi="Aptos" w:cstheme="minorBidi"/>
          <w:color w:val="auto"/>
          <w:sz w:val="22"/>
          <w:szCs w:val="22"/>
          <w:lang w:eastAsia="en-US"/>
        </w:rPr>
        <w:t xml:space="preserve">is one of 39 approved skilled migration assessing authorities and is </w:t>
      </w:r>
      <w:r w:rsidR="003561AE" w:rsidRPr="005314E1">
        <w:rPr>
          <w:rFonts w:ascii="Aptos" w:eastAsiaTheme="minorHAnsi" w:hAnsi="Aptos" w:cstheme="minorBidi"/>
          <w:color w:val="auto"/>
          <w:sz w:val="22"/>
          <w:szCs w:val="22"/>
          <w:lang w:eastAsia="en-US"/>
        </w:rPr>
        <w:t xml:space="preserve">the approved authority </w:t>
      </w:r>
      <w:r w:rsidR="00BE3107" w:rsidRPr="005314E1">
        <w:rPr>
          <w:rFonts w:ascii="Aptos" w:eastAsiaTheme="minorHAnsi" w:hAnsi="Aptos" w:cstheme="minorBidi"/>
          <w:color w:val="auto"/>
          <w:sz w:val="22"/>
          <w:szCs w:val="22"/>
          <w:lang w:eastAsia="en-US"/>
        </w:rPr>
        <w:t>for assessing applicants for 13</w:t>
      </w:r>
      <w:r w:rsidR="00DD1707">
        <w:rPr>
          <w:rFonts w:ascii="Aptos" w:eastAsiaTheme="minorHAnsi" w:hAnsi="Aptos" w:cstheme="minorBidi"/>
          <w:color w:val="auto"/>
          <w:sz w:val="22"/>
          <w:szCs w:val="22"/>
          <w:lang w:eastAsia="en-US"/>
        </w:rPr>
        <w:t>3</w:t>
      </w:r>
      <w:r w:rsidR="00BE3107" w:rsidRPr="005314E1">
        <w:rPr>
          <w:rFonts w:ascii="Aptos" w:eastAsiaTheme="minorHAnsi" w:hAnsi="Aptos" w:cstheme="minorBidi"/>
          <w:color w:val="auto"/>
          <w:sz w:val="22"/>
          <w:szCs w:val="22"/>
          <w:lang w:eastAsia="en-US"/>
        </w:rPr>
        <w:t xml:space="preserve"> of the occupations designated on the Skilled Occupation List maintained by the Department of Home Affairs (Home Affairs). </w:t>
      </w:r>
    </w:p>
    <w:p w14:paraId="4943CE1C" w14:textId="22BD0161" w:rsidR="00DA522E" w:rsidRPr="005314E1" w:rsidRDefault="00BE3107" w:rsidP="000A5D2B">
      <w:pPr>
        <w:pStyle w:val="Default"/>
        <w:spacing w:after="120"/>
        <w:rPr>
          <w:rFonts w:ascii="Aptos" w:eastAsiaTheme="minorHAnsi" w:hAnsi="Aptos" w:cstheme="minorBidi"/>
          <w:color w:val="auto"/>
          <w:sz w:val="22"/>
          <w:szCs w:val="22"/>
          <w:lang w:eastAsia="en-US"/>
        </w:rPr>
      </w:pPr>
      <w:r w:rsidRPr="005314E1">
        <w:rPr>
          <w:rFonts w:ascii="Aptos" w:eastAsiaTheme="minorHAnsi" w:hAnsi="Aptos" w:cstheme="minorBidi"/>
          <w:color w:val="auto"/>
          <w:sz w:val="22"/>
          <w:szCs w:val="22"/>
          <w:lang w:eastAsia="en-US"/>
        </w:rPr>
        <w:t xml:space="preserve">The occupations </w:t>
      </w:r>
      <w:r w:rsidR="007D2FA8" w:rsidRPr="005314E1">
        <w:rPr>
          <w:rFonts w:ascii="Aptos" w:eastAsiaTheme="minorHAnsi" w:hAnsi="Aptos" w:cstheme="minorBidi"/>
          <w:color w:val="auto"/>
          <w:sz w:val="22"/>
          <w:szCs w:val="22"/>
          <w:lang w:eastAsia="en-US"/>
        </w:rPr>
        <w:t>Trades Recognition Australia</w:t>
      </w:r>
      <w:r w:rsidR="007D2FA8" w:rsidRPr="005314E1" w:rsidDel="007D2FA8">
        <w:rPr>
          <w:rFonts w:ascii="Aptos" w:eastAsiaTheme="minorHAnsi" w:hAnsi="Aptos" w:cstheme="minorBidi"/>
          <w:color w:val="auto"/>
          <w:sz w:val="22"/>
          <w:szCs w:val="22"/>
          <w:lang w:eastAsia="en-US"/>
        </w:rPr>
        <w:t xml:space="preserve"> </w:t>
      </w:r>
      <w:r w:rsidRPr="005314E1">
        <w:rPr>
          <w:rFonts w:ascii="Aptos" w:eastAsiaTheme="minorHAnsi" w:hAnsi="Aptos" w:cstheme="minorBidi"/>
          <w:color w:val="auto"/>
          <w:sz w:val="22"/>
          <w:szCs w:val="22"/>
          <w:lang w:eastAsia="en-US"/>
        </w:rPr>
        <w:t xml:space="preserve">is responsible for assessing are identified in </w:t>
      </w:r>
      <w:r w:rsidR="00560AA3" w:rsidRPr="005314E1">
        <w:rPr>
          <w:rFonts w:ascii="Aptos" w:eastAsiaTheme="minorHAnsi" w:hAnsi="Aptos" w:cstheme="minorBidi"/>
          <w:color w:val="auto"/>
          <w:sz w:val="22"/>
          <w:szCs w:val="22"/>
          <w:lang w:eastAsia="en-US"/>
        </w:rPr>
        <w:t xml:space="preserve">a range of </w:t>
      </w:r>
      <w:r w:rsidR="000A5D2B" w:rsidRPr="005314E1">
        <w:rPr>
          <w:rFonts w:ascii="Aptos" w:eastAsiaTheme="minorHAnsi" w:hAnsi="Aptos" w:cstheme="minorBidi"/>
          <w:color w:val="auto"/>
          <w:sz w:val="22"/>
          <w:szCs w:val="22"/>
          <w:lang w:eastAsia="en-US"/>
        </w:rPr>
        <w:t>l</w:t>
      </w:r>
      <w:r w:rsidR="00560AA3" w:rsidRPr="005314E1">
        <w:rPr>
          <w:rFonts w:ascii="Aptos" w:eastAsiaTheme="minorHAnsi" w:hAnsi="Aptos" w:cstheme="minorBidi"/>
          <w:color w:val="auto"/>
          <w:sz w:val="22"/>
          <w:szCs w:val="22"/>
          <w:lang w:eastAsia="en-US"/>
        </w:rPr>
        <w:t xml:space="preserve">egislative Instruments </w:t>
      </w:r>
      <w:r w:rsidR="00DA522E" w:rsidRPr="005314E1">
        <w:rPr>
          <w:rFonts w:ascii="Aptos" w:eastAsiaTheme="minorHAnsi" w:hAnsi="Aptos" w:cstheme="minorBidi"/>
          <w:color w:val="auto"/>
          <w:sz w:val="22"/>
          <w:szCs w:val="22"/>
          <w:lang w:eastAsia="en-US"/>
        </w:rPr>
        <w:t xml:space="preserve">as outlined in </w:t>
      </w:r>
      <w:r w:rsidR="00DA522E" w:rsidRPr="005314E1">
        <w:rPr>
          <w:rFonts w:ascii="Aptos" w:eastAsiaTheme="minorHAnsi" w:hAnsi="Aptos" w:cstheme="minorBidi"/>
          <w:b/>
          <w:bCs/>
          <w:color w:val="auto"/>
          <w:sz w:val="22"/>
          <w:szCs w:val="22"/>
          <w:lang w:eastAsia="en-US"/>
        </w:rPr>
        <w:t>Table 1.</w:t>
      </w:r>
    </w:p>
    <w:p w14:paraId="3384D67A" w14:textId="23FE6007" w:rsidR="00A335AE" w:rsidRPr="00F77513" w:rsidRDefault="00A335AE" w:rsidP="003A4B70">
      <w:pPr>
        <w:pStyle w:val="Heading2"/>
        <w:spacing w:line="276" w:lineRule="auto"/>
        <w:rPr>
          <w:color w:val="5D7A38"/>
        </w:rPr>
      </w:pPr>
      <w:bookmarkStart w:id="4" w:name="_Toc197608587"/>
      <w:r w:rsidRPr="00F77513">
        <w:rPr>
          <w:color w:val="5D7A38"/>
        </w:rPr>
        <w:t>1.3</w:t>
      </w:r>
      <w:r w:rsidR="007B2626" w:rsidRPr="00F77513">
        <w:rPr>
          <w:color w:val="5D7A38"/>
        </w:rPr>
        <w:t>.</w:t>
      </w:r>
      <w:r w:rsidRPr="00F77513">
        <w:rPr>
          <w:color w:val="5D7A38"/>
        </w:rPr>
        <w:t xml:space="preserve"> Description of the regulatory charging activity</w:t>
      </w:r>
      <w:bookmarkEnd w:id="4"/>
      <w:r w:rsidRPr="00F77513">
        <w:rPr>
          <w:color w:val="5D7A38"/>
        </w:rPr>
        <w:t xml:space="preserve"> </w:t>
      </w:r>
    </w:p>
    <w:p w14:paraId="6E0B2AF5" w14:textId="077C7838" w:rsidR="00A335AE" w:rsidRPr="005314E1" w:rsidRDefault="00A335AE" w:rsidP="003A4B70">
      <w:pPr>
        <w:spacing w:line="276" w:lineRule="auto"/>
        <w:rPr>
          <w:rFonts w:ascii="Aptos" w:hAnsi="Aptos"/>
        </w:rPr>
      </w:pPr>
      <w:r w:rsidRPr="005314E1">
        <w:rPr>
          <w:rFonts w:ascii="Aptos" w:hAnsi="Aptos"/>
        </w:rPr>
        <w:t xml:space="preserve">Charging for the </w:t>
      </w:r>
      <w:r w:rsidR="007D2FA8" w:rsidRPr="005314E1">
        <w:rPr>
          <w:rFonts w:ascii="Aptos" w:hAnsi="Aptos"/>
        </w:rPr>
        <w:t>Trades Recognition Australia</w:t>
      </w:r>
      <w:r w:rsidR="007D2FA8" w:rsidRPr="005314E1" w:rsidDel="007D2FA8">
        <w:rPr>
          <w:rFonts w:ascii="Aptos" w:hAnsi="Aptos"/>
        </w:rPr>
        <w:t xml:space="preserve"> </w:t>
      </w:r>
      <w:r w:rsidR="00064883">
        <w:rPr>
          <w:rFonts w:ascii="Aptos" w:hAnsi="Aptos"/>
        </w:rPr>
        <w:t xml:space="preserve">skills </w:t>
      </w:r>
      <w:r w:rsidRPr="005314E1">
        <w:rPr>
          <w:rFonts w:ascii="Aptos" w:hAnsi="Aptos"/>
        </w:rPr>
        <w:t>assessment pathways ensures applicants contribute to the cost of program administration and regulation. These assessments present a personal benefit to applicants. For applicants, a successful skills assessment is used to access either migration, licensing, or employment, or as a basis for further trade training.</w:t>
      </w:r>
    </w:p>
    <w:p w14:paraId="3D7BD970" w14:textId="6572AE38" w:rsidR="00A335AE" w:rsidRPr="005314E1" w:rsidRDefault="00A335AE" w:rsidP="007D2FA8">
      <w:pPr>
        <w:rPr>
          <w:rFonts w:ascii="Aptos" w:hAnsi="Aptos"/>
        </w:rPr>
      </w:pPr>
      <w:r w:rsidRPr="005314E1">
        <w:rPr>
          <w:rFonts w:ascii="Aptos" w:hAnsi="Aptos"/>
        </w:rPr>
        <w:t>The prices of the charges raised are for cost recovery and are set to recover the efficient full costs of specific activities</w:t>
      </w:r>
      <w:r w:rsidR="007D2FA8" w:rsidRPr="005314E1">
        <w:rPr>
          <w:rFonts w:ascii="Aptos" w:hAnsi="Aptos"/>
        </w:rPr>
        <w:t xml:space="preserve"> (Figure 1 and Figure 2 refers)</w:t>
      </w:r>
      <w:r w:rsidRPr="005314E1">
        <w:rPr>
          <w:rFonts w:ascii="Aptos" w:hAnsi="Aptos"/>
        </w:rPr>
        <w:t xml:space="preserve">. The </w:t>
      </w:r>
      <w:r w:rsidR="00B5628D">
        <w:rPr>
          <w:rFonts w:ascii="Aptos" w:hAnsi="Aptos"/>
        </w:rPr>
        <w:t xml:space="preserve">Australian Government Charging </w:t>
      </w:r>
      <w:r w:rsidRPr="005314E1">
        <w:rPr>
          <w:rFonts w:ascii="Aptos" w:hAnsi="Aptos"/>
        </w:rPr>
        <w:t xml:space="preserve">Framework, which incorporates the Government’s CRGs, sets out the framework under which government entities design, implement and review regulatory charging activities. The </w:t>
      </w:r>
      <w:r w:rsidRPr="005314E1">
        <w:rPr>
          <w:rFonts w:ascii="Aptos" w:hAnsi="Aptos"/>
        </w:rPr>
        <w:lastRenderedPageBreak/>
        <w:t>Government’s overarching charging policy is that, where appropriate, non</w:t>
      </w:r>
      <w:r w:rsidRPr="005314E1">
        <w:rPr>
          <w:rFonts w:ascii="Aptos" w:hAnsi="Aptos"/>
        </w:rPr>
        <w:noBreakHyphen/>
        <w:t>government recipients of regulatory activities should be charged some or all of the efficient costs of those activities.</w:t>
      </w:r>
    </w:p>
    <w:p w14:paraId="6BBD0FD8" w14:textId="3E85ECCB" w:rsidR="00A335AE" w:rsidRPr="005314E1" w:rsidRDefault="00A335AE" w:rsidP="007D2FA8">
      <w:pPr>
        <w:rPr>
          <w:rFonts w:ascii="Aptos" w:eastAsia="Calibri" w:hAnsi="Aptos"/>
        </w:rPr>
      </w:pPr>
      <w:r w:rsidRPr="005314E1">
        <w:rPr>
          <w:rFonts w:ascii="Aptos" w:hAnsi="Aptos"/>
        </w:rPr>
        <w:t>The cost recovery policy promotes consistent, transparent and accountable charging for government regulatory activity and supports the proper use of public resources.</w:t>
      </w:r>
    </w:p>
    <w:p w14:paraId="0DC01AA5" w14:textId="11BB2941" w:rsidR="00560AA3" w:rsidRPr="005314E1" w:rsidRDefault="00DA522E" w:rsidP="00506E46">
      <w:pPr>
        <w:pStyle w:val="Heading4"/>
        <w:rPr>
          <w:rFonts w:ascii="Aptos" w:hAnsi="Aptos"/>
          <w:color w:val="5D7A38"/>
        </w:rPr>
      </w:pPr>
      <w:bookmarkStart w:id="5" w:name="_Toc197608588"/>
      <w:r w:rsidRPr="005314E1">
        <w:rPr>
          <w:rFonts w:ascii="Aptos" w:hAnsi="Aptos"/>
          <w:b/>
          <w:bCs/>
          <w:color w:val="5D7A38"/>
        </w:rPr>
        <w:t>Table 1:</w:t>
      </w:r>
      <w:r w:rsidR="007D2FA8" w:rsidRPr="005314E1">
        <w:rPr>
          <w:rFonts w:ascii="Aptos" w:hAnsi="Aptos"/>
          <w:color w:val="5D7A38"/>
        </w:rPr>
        <w:t xml:space="preserve"> Trades Recognition Australia</w:t>
      </w:r>
      <w:r w:rsidR="007D2FA8" w:rsidRPr="005314E1" w:rsidDel="007D2FA8">
        <w:rPr>
          <w:rFonts w:ascii="Aptos" w:hAnsi="Aptos"/>
          <w:color w:val="5D7A38"/>
        </w:rPr>
        <w:t xml:space="preserve"> </w:t>
      </w:r>
      <w:r w:rsidRPr="005314E1">
        <w:rPr>
          <w:rFonts w:ascii="Aptos" w:hAnsi="Aptos"/>
          <w:color w:val="5D7A38"/>
        </w:rPr>
        <w:t>Legislative Instruments</w:t>
      </w:r>
      <w:bookmarkEnd w:id="5"/>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DA522E" w:rsidRPr="00165D8C" w14:paraId="57CE526E" w14:textId="77777777" w:rsidTr="002D3BB2">
        <w:trPr>
          <w:trHeight w:val="95"/>
        </w:trPr>
        <w:tc>
          <w:tcPr>
            <w:tcW w:w="4508" w:type="dxa"/>
            <w:shd w:val="clear" w:color="auto" w:fill="404246"/>
          </w:tcPr>
          <w:p w14:paraId="12C367A4" w14:textId="3B788D6C" w:rsidR="00DA522E" w:rsidRPr="002D3BB2" w:rsidRDefault="00DA522E" w:rsidP="00DA522E">
            <w:pPr>
              <w:jc w:val="center"/>
              <w:rPr>
                <w:rFonts w:ascii="Aptos" w:hAnsi="Aptos"/>
                <w:color w:val="FFFFFF" w:themeColor="background1"/>
                <w:sz w:val="20"/>
                <w:szCs w:val="20"/>
              </w:rPr>
            </w:pPr>
            <w:r w:rsidRPr="002D3BB2">
              <w:rPr>
                <w:rFonts w:ascii="Aptos" w:hAnsi="Aptos"/>
                <w:b/>
                <w:bCs/>
                <w:color w:val="FFFFFF" w:themeColor="background1"/>
                <w:sz w:val="20"/>
                <w:szCs w:val="20"/>
              </w:rPr>
              <w:t>Legislative instrument</w:t>
            </w:r>
            <w:r w:rsidRPr="002D3BB2">
              <w:rPr>
                <w:rFonts w:ascii="Aptos" w:hAnsi="Aptos"/>
                <w:b/>
                <w:bCs/>
                <w:color w:val="FFFFFF" w:themeColor="background1"/>
                <w:sz w:val="20"/>
                <w:szCs w:val="20"/>
              </w:rPr>
              <w:br/>
            </w:r>
            <w:r w:rsidRPr="002D3BB2">
              <w:rPr>
                <w:rFonts w:ascii="Aptos" w:hAnsi="Aptos"/>
                <w:color w:val="FFFFFF" w:themeColor="background1"/>
                <w:sz w:val="20"/>
                <w:szCs w:val="20"/>
              </w:rPr>
              <w:t>(specifying the assessing authority)</w:t>
            </w:r>
          </w:p>
        </w:tc>
        <w:tc>
          <w:tcPr>
            <w:tcW w:w="4508" w:type="dxa"/>
            <w:shd w:val="clear" w:color="auto" w:fill="404246"/>
          </w:tcPr>
          <w:p w14:paraId="6D6BB366" w14:textId="7396A58A" w:rsidR="00DA522E" w:rsidRPr="002D3BB2" w:rsidRDefault="00DA522E" w:rsidP="00DA522E">
            <w:pPr>
              <w:jc w:val="center"/>
              <w:rPr>
                <w:rFonts w:ascii="Aptos" w:hAnsi="Aptos"/>
                <w:b/>
                <w:bCs/>
                <w:color w:val="FFFFFF" w:themeColor="background1"/>
                <w:sz w:val="20"/>
                <w:szCs w:val="20"/>
              </w:rPr>
            </w:pPr>
            <w:r w:rsidRPr="002D3BB2">
              <w:rPr>
                <w:rFonts w:ascii="Aptos" w:hAnsi="Aptos"/>
                <w:b/>
                <w:bCs/>
                <w:color w:val="FFFFFF" w:themeColor="background1"/>
                <w:sz w:val="20"/>
                <w:szCs w:val="20"/>
              </w:rPr>
              <w:t>Visa subclass</w:t>
            </w:r>
          </w:p>
        </w:tc>
      </w:tr>
      <w:tr w:rsidR="00DA522E" w:rsidRPr="00165D8C" w14:paraId="59F372C5" w14:textId="77777777" w:rsidTr="008150A0">
        <w:tc>
          <w:tcPr>
            <w:tcW w:w="4508" w:type="dxa"/>
          </w:tcPr>
          <w:p w14:paraId="213D21E6" w14:textId="58A47F9A" w:rsidR="00DA522E" w:rsidRPr="00165D8C" w:rsidRDefault="002C3106" w:rsidP="00DA522E">
            <w:pPr>
              <w:rPr>
                <w:rFonts w:ascii="Aptos" w:hAnsi="Aptos"/>
                <w:sz w:val="20"/>
                <w:szCs w:val="20"/>
              </w:rPr>
            </w:pPr>
            <w:r w:rsidRPr="002C3106">
              <w:rPr>
                <w:rFonts w:ascii="Aptos" w:hAnsi="Aptos"/>
                <w:sz w:val="20"/>
                <w:szCs w:val="20"/>
              </w:rPr>
              <w:t>Migration (</w:t>
            </w:r>
            <w:r w:rsidRPr="002E580A">
              <w:rPr>
                <w:rFonts w:ascii="Aptos" w:hAnsi="Aptos"/>
                <w:sz w:val="20"/>
                <w:szCs w:val="20"/>
              </w:rPr>
              <w:t>LIN</w:t>
            </w:r>
            <w:r w:rsidRPr="002C3106">
              <w:rPr>
                <w:rFonts w:ascii="Aptos" w:hAnsi="Aptos"/>
                <w:sz w:val="20"/>
                <w:szCs w:val="20"/>
              </w:rPr>
              <w:t xml:space="preserve"> 19/051: Specification of Occupations and Assessing Authorities) Instrument 2019</w:t>
            </w:r>
          </w:p>
        </w:tc>
        <w:tc>
          <w:tcPr>
            <w:tcW w:w="4508" w:type="dxa"/>
          </w:tcPr>
          <w:p w14:paraId="677C8162" w14:textId="77777777" w:rsidR="00DA522E" w:rsidRPr="00165D8C" w:rsidRDefault="00DA522E" w:rsidP="00DA522E">
            <w:pPr>
              <w:rPr>
                <w:rFonts w:ascii="Aptos" w:hAnsi="Aptos"/>
                <w:sz w:val="20"/>
                <w:szCs w:val="20"/>
              </w:rPr>
            </w:pPr>
            <w:r w:rsidRPr="00165D8C">
              <w:rPr>
                <w:rFonts w:ascii="Aptos" w:hAnsi="Aptos"/>
                <w:sz w:val="20"/>
                <w:szCs w:val="20"/>
              </w:rPr>
              <w:t>Skilled Independent visa (subclass 189) – Points-tested stream</w:t>
            </w:r>
          </w:p>
          <w:p w14:paraId="2E7C6F22" w14:textId="77777777" w:rsidR="008150A0" w:rsidRPr="00165D8C" w:rsidRDefault="008150A0" w:rsidP="008150A0">
            <w:pPr>
              <w:rPr>
                <w:rFonts w:ascii="Aptos" w:hAnsi="Aptos"/>
                <w:sz w:val="20"/>
                <w:szCs w:val="20"/>
                <w:shd w:val="clear" w:color="auto" w:fill="FFFFFF"/>
              </w:rPr>
            </w:pPr>
            <w:r w:rsidRPr="00165D8C">
              <w:rPr>
                <w:rFonts w:ascii="Aptos" w:hAnsi="Aptos"/>
                <w:sz w:val="20"/>
                <w:szCs w:val="20"/>
                <w:shd w:val="clear" w:color="auto" w:fill="FFFFFF"/>
              </w:rPr>
              <w:t>Skilled Work Regional (Provisional) visa (subclass 491)</w:t>
            </w:r>
          </w:p>
          <w:p w14:paraId="76C03FB8" w14:textId="77777777" w:rsidR="008150A0" w:rsidRPr="00165D8C" w:rsidRDefault="008150A0" w:rsidP="008150A0">
            <w:pPr>
              <w:rPr>
                <w:rFonts w:ascii="Aptos" w:hAnsi="Aptos"/>
                <w:sz w:val="20"/>
                <w:szCs w:val="20"/>
                <w:shd w:val="clear" w:color="auto" w:fill="FFFFFF"/>
              </w:rPr>
            </w:pPr>
            <w:r w:rsidRPr="00165D8C">
              <w:rPr>
                <w:rFonts w:ascii="Aptos" w:hAnsi="Aptos"/>
                <w:sz w:val="20"/>
                <w:szCs w:val="20"/>
                <w:shd w:val="clear" w:color="auto" w:fill="FFFFFF"/>
              </w:rPr>
              <w:t>Skilled Nominated visa (subclass 190)</w:t>
            </w:r>
          </w:p>
          <w:p w14:paraId="414A4986" w14:textId="285ADB68" w:rsidR="008150A0" w:rsidRPr="00165D8C" w:rsidRDefault="008150A0" w:rsidP="008150A0">
            <w:pPr>
              <w:rPr>
                <w:rFonts w:ascii="Aptos" w:hAnsi="Aptos"/>
                <w:sz w:val="20"/>
                <w:szCs w:val="20"/>
              </w:rPr>
            </w:pPr>
            <w:r w:rsidRPr="00165D8C">
              <w:rPr>
                <w:rFonts w:ascii="Aptos" w:hAnsi="Aptos"/>
                <w:sz w:val="20"/>
                <w:szCs w:val="20"/>
                <w:shd w:val="clear" w:color="auto" w:fill="FFFFFF"/>
              </w:rPr>
              <w:t>Temporary Graduate visa (subclass 485) – Graduate Work</w:t>
            </w:r>
          </w:p>
        </w:tc>
      </w:tr>
      <w:tr w:rsidR="008150A0" w:rsidRPr="00165D8C" w14:paraId="1BD2433F" w14:textId="77777777" w:rsidTr="008150A0">
        <w:tc>
          <w:tcPr>
            <w:tcW w:w="4508" w:type="dxa"/>
          </w:tcPr>
          <w:p w14:paraId="6B86C847" w14:textId="0104600A" w:rsidR="008150A0" w:rsidRPr="00165D8C" w:rsidRDefault="008150A0" w:rsidP="008150A0">
            <w:pPr>
              <w:rPr>
                <w:rFonts w:ascii="Aptos" w:hAnsi="Aptos"/>
                <w:sz w:val="20"/>
                <w:szCs w:val="20"/>
              </w:rPr>
            </w:pPr>
            <w:r w:rsidRPr="00165D8C">
              <w:rPr>
                <w:rFonts w:ascii="Aptos" w:hAnsi="Aptos"/>
                <w:sz w:val="20"/>
                <w:szCs w:val="20"/>
              </w:rPr>
              <w:t>Migration (</w:t>
            </w:r>
            <w:r w:rsidRPr="002E580A">
              <w:rPr>
                <w:rFonts w:ascii="Aptos" w:hAnsi="Aptos"/>
                <w:sz w:val="20"/>
                <w:szCs w:val="20"/>
              </w:rPr>
              <w:t>LIN</w:t>
            </w:r>
            <w:r w:rsidRPr="00165D8C">
              <w:rPr>
                <w:rFonts w:ascii="Aptos" w:hAnsi="Aptos"/>
                <w:sz w:val="20"/>
                <w:szCs w:val="20"/>
              </w:rPr>
              <w:t xml:space="preserve"> </w:t>
            </w:r>
            <w:r w:rsidR="001D7B31">
              <w:rPr>
                <w:rFonts w:ascii="Aptos" w:hAnsi="Aptos"/>
                <w:sz w:val="20"/>
                <w:szCs w:val="20"/>
              </w:rPr>
              <w:t>24</w:t>
            </w:r>
            <w:r w:rsidRPr="00165D8C">
              <w:rPr>
                <w:rFonts w:ascii="Aptos" w:hAnsi="Aptos"/>
                <w:sz w:val="20"/>
                <w:szCs w:val="20"/>
              </w:rPr>
              <w:t>/</w:t>
            </w:r>
            <w:r w:rsidR="001D7B31">
              <w:rPr>
                <w:rFonts w:ascii="Aptos" w:hAnsi="Aptos"/>
                <w:sz w:val="20"/>
                <w:szCs w:val="20"/>
              </w:rPr>
              <w:t>089:</w:t>
            </w:r>
            <w:r w:rsidRPr="00165D8C">
              <w:rPr>
                <w:rFonts w:ascii="Aptos" w:hAnsi="Aptos"/>
                <w:sz w:val="20"/>
                <w:szCs w:val="20"/>
              </w:rPr>
              <w:t xml:space="preserve"> Specification of Occupations—Subclass 482 Visa) Instrument 2</w:t>
            </w:r>
            <w:r w:rsidR="00D40581">
              <w:rPr>
                <w:rFonts w:ascii="Aptos" w:hAnsi="Aptos"/>
                <w:sz w:val="20"/>
                <w:szCs w:val="20"/>
              </w:rPr>
              <w:t>024</w:t>
            </w:r>
          </w:p>
        </w:tc>
        <w:tc>
          <w:tcPr>
            <w:tcW w:w="4508" w:type="dxa"/>
          </w:tcPr>
          <w:p w14:paraId="2CBE4E65" w14:textId="338DBA2A" w:rsidR="008150A0" w:rsidRPr="00165D8C" w:rsidRDefault="00F9753D" w:rsidP="008150A0">
            <w:pPr>
              <w:rPr>
                <w:rFonts w:ascii="Aptos" w:hAnsi="Aptos"/>
                <w:sz w:val="20"/>
                <w:szCs w:val="20"/>
              </w:rPr>
            </w:pPr>
            <w:r>
              <w:rPr>
                <w:rFonts w:ascii="Aptos" w:hAnsi="Aptos"/>
                <w:sz w:val="20"/>
                <w:szCs w:val="20"/>
                <w:shd w:val="clear" w:color="auto" w:fill="FFFFFF"/>
              </w:rPr>
              <w:t>Skills in Demand</w:t>
            </w:r>
            <w:r w:rsidR="008150A0" w:rsidRPr="00165D8C">
              <w:rPr>
                <w:rFonts w:ascii="Aptos" w:hAnsi="Aptos"/>
                <w:sz w:val="20"/>
                <w:szCs w:val="20"/>
                <w:shd w:val="clear" w:color="auto" w:fill="FFFFFF"/>
              </w:rPr>
              <w:t xml:space="preserve"> (</w:t>
            </w:r>
            <w:r w:rsidR="001D7B31">
              <w:rPr>
                <w:rFonts w:ascii="Aptos" w:hAnsi="Aptos"/>
                <w:sz w:val="20"/>
                <w:szCs w:val="20"/>
                <w:shd w:val="clear" w:color="auto" w:fill="FFFFFF"/>
              </w:rPr>
              <w:t>SiD</w:t>
            </w:r>
            <w:r w:rsidR="008150A0" w:rsidRPr="00165D8C">
              <w:rPr>
                <w:rFonts w:ascii="Aptos" w:hAnsi="Aptos"/>
                <w:sz w:val="20"/>
                <w:szCs w:val="20"/>
                <w:shd w:val="clear" w:color="auto" w:fill="FFFFFF"/>
              </w:rPr>
              <w:t>) visa (subclass 482)</w:t>
            </w:r>
          </w:p>
        </w:tc>
      </w:tr>
      <w:tr w:rsidR="008150A0" w:rsidRPr="00165D8C" w14:paraId="770B2EF7" w14:textId="77777777" w:rsidTr="008150A0">
        <w:tc>
          <w:tcPr>
            <w:tcW w:w="4508" w:type="dxa"/>
          </w:tcPr>
          <w:p w14:paraId="6C6A9775" w14:textId="5CCE3169" w:rsidR="008150A0" w:rsidRPr="00165D8C" w:rsidRDefault="008150A0" w:rsidP="008150A0">
            <w:pPr>
              <w:rPr>
                <w:rFonts w:ascii="Aptos" w:hAnsi="Aptos"/>
                <w:sz w:val="20"/>
                <w:szCs w:val="20"/>
              </w:rPr>
            </w:pPr>
            <w:r w:rsidRPr="00165D8C">
              <w:rPr>
                <w:rFonts w:ascii="Aptos" w:hAnsi="Aptos"/>
                <w:sz w:val="20"/>
                <w:szCs w:val="20"/>
              </w:rPr>
              <w:t>Migration (</w:t>
            </w:r>
            <w:r w:rsidRPr="00A364DA">
              <w:rPr>
                <w:rFonts w:ascii="Aptos" w:hAnsi="Aptos"/>
                <w:sz w:val="20"/>
                <w:szCs w:val="20"/>
              </w:rPr>
              <w:t>LIN</w:t>
            </w:r>
            <w:r w:rsidRPr="00165D8C">
              <w:rPr>
                <w:rFonts w:ascii="Aptos" w:hAnsi="Aptos"/>
                <w:sz w:val="20"/>
                <w:szCs w:val="20"/>
              </w:rPr>
              <w:t xml:space="preserve"> </w:t>
            </w:r>
            <w:r w:rsidR="001737A1">
              <w:rPr>
                <w:rFonts w:ascii="Aptos" w:hAnsi="Aptos"/>
                <w:sz w:val="20"/>
                <w:szCs w:val="20"/>
              </w:rPr>
              <w:t>24</w:t>
            </w:r>
            <w:r w:rsidRPr="00165D8C">
              <w:rPr>
                <w:rFonts w:ascii="Aptos" w:hAnsi="Aptos"/>
                <w:sz w:val="20"/>
                <w:szCs w:val="20"/>
              </w:rPr>
              <w:t>/0</w:t>
            </w:r>
            <w:r w:rsidR="001737A1">
              <w:rPr>
                <w:rFonts w:ascii="Aptos" w:hAnsi="Aptos"/>
                <w:sz w:val="20"/>
                <w:szCs w:val="20"/>
              </w:rPr>
              <w:t>93</w:t>
            </w:r>
            <w:r w:rsidRPr="00165D8C">
              <w:rPr>
                <w:rFonts w:ascii="Aptos" w:hAnsi="Aptos"/>
                <w:sz w:val="20"/>
                <w:szCs w:val="20"/>
              </w:rPr>
              <w:t xml:space="preserve">: Specification of Occupations and </w:t>
            </w:r>
            <w:r w:rsidR="00BF1574">
              <w:rPr>
                <w:rFonts w:ascii="Aptos" w:hAnsi="Aptos"/>
                <w:sz w:val="20"/>
                <w:szCs w:val="20"/>
              </w:rPr>
              <w:t xml:space="preserve">Relevant </w:t>
            </w:r>
            <w:r w:rsidRPr="00165D8C">
              <w:rPr>
                <w:rFonts w:ascii="Aptos" w:hAnsi="Aptos"/>
                <w:sz w:val="20"/>
                <w:szCs w:val="20"/>
              </w:rPr>
              <w:t>Assessing Authorities—Subclass 186 Visa) Instrument 20</w:t>
            </w:r>
            <w:r w:rsidR="007F4D4C">
              <w:rPr>
                <w:rFonts w:ascii="Aptos" w:hAnsi="Aptos"/>
                <w:sz w:val="20"/>
                <w:szCs w:val="20"/>
              </w:rPr>
              <w:t>24</w:t>
            </w:r>
          </w:p>
        </w:tc>
        <w:tc>
          <w:tcPr>
            <w:tcW w:w="4508" w:type="dxa"/>
          </w:tcPr>
          <w:p w14:paraId="50415FF6" w14:textId="6A8BB6C1" w:rsidR="008150A0" w:rsidRPr="00165D8C" w:rsidRDefault="008150A0" w:rsidP="008150A0">
            <w:pPr>
              <w:rPr>
                <w:rFonts w:ascii="Aptos" w:hAnsi="Aptos"/>
                <w:sz w:val="20"/>
                <w:szCs w:val="20"/>
              </w:rPr>
            </w:pPr>
            <w:r w:rsidRPr="00165D8C">
              <w:rPr>
                <w:rFonts w:ascii="Aptos" w:hAnsi="Aptos"/>
                <w:sz w:val="20"/>
                <w:szCs w:val="20"/>
                <w:shd w:val="clear" w:color="auto" w:fill="FFFFFF"/>
              </w:rPr>
              <w:t>Employer Nomination Scheme (ENS) visa (subclass 186)</w:t>
            </w:r>
          </w:p>
        </w:tc>
      </w:tr>
      <w:tr w:rsidR="00DA522E" w:rsidRPr="00165D8C" w14:paraId="75D6C838" w14:textId="77777777" w:rsidTr="008150A0">
        <w:tc>
          <w:tcPr>
            <w:tcW w:w="4508" w:type="dxa"/>
          </w:tcPr>
          <w:p w14:paraId="0315A854" w14:textId="71B65089" w:rsidR="00DA522E" w:rsidRPr="00165D8C" w:rsidRDefault="008150A0" w:rsidP="00DA522E">
            <w:pPr>
              <w:rPr>
                <w:rFonts w:ascii="Aptos" w:hAnsi="Aptos"/>
                <w:sz w:val="20"/>
                <w:szCs w:val="20"/>
              </w:rPr>
            </w:pPr>
            <w:r w:rsidRPr="00165D8C">
              <w:rPr>
                <w:rFonts w:ascii="Aptos" w:hAnsi="Aptos"/>
                <w:sz w:val="20"/>
                <w:szCs w:val="20"/>
              </w:rPr>
              <w:t>IMMI 12/096: Specification of Occupations and Assessing Authorities</w:t>
            </w:r>
          </w:p>
        </w:tc>
        <w:tc>
          <w:tcPr>
            <w:tcW w:w="4508" w:type="dxa"/>
          </w:tcPr>
          <w:p w14:paraId="70E755E3" w14:textId="70BEA49A" w:rsidR="00DA522E" w:rsidRPr="00165D8C" w:rsidRDefault="008150A0" w:rsidP="00DA522E">
            <w:pPr>
              <w:rPr>
                <w:rFonts w:ascii="Aptos" w:hAnsi="Aptos"/>
                <w:sz w:val="20"/>
                <w:szCs w:val="20"/>
              </w:rPr>
            </w:pPr>
            <w:r w:rsidRPr="00165D8C">
              <w:rPr>
                <w:rFonts w:ascii="Aptos" w:hAnsi="Aptos"/>
                <w:sz w:val="20"/>
                <w:szCs w:val="20"/>
                <w:shd w:val="clear" w:color="auto" w:fill="FFFFFF"/>
              </w:rPr>
              <w:t>Regional Sponsored Migration Scheme (RSMS) visa (subclass 187)</w:t>
            </w:r>
          </w:p>
        </w:tc>
      </w:tr>
      <w:tr w:rsidR="00DA522E" w:rsidRPr="00165D8C" w14:paraId="73517672" w14:textId="77777777" w:rsidTr="008150A0">
        <w:tc>
          <w:tcPr>
            <w:tcW w:w="4508" w:type="dxa"/>
          </w:tcPr>
          <w:p w14:paraId="4BCC0CB2" w14:textId="3644E515" w:rsidR="00DA522E" w:rsidRPr="00165D8C" w:rsidRDefault="008150A0" w:rsidP="00DA522E">
            <w:pPr>
              <w:rPr>
                <w:rFonts w:ascii="Aptos" w:hAnsi="Aptos"/>
                <w:sz w:val="20"/>
                <w:szCs w:val="20"/>
              </w:rPr>
            </w:pPr>
            <w:r w:rsidRPr="00165D8C">
              <w:rPr>
                <w:rFonts w:ascii="Aptos" w:hAnsi="Aptos"/>
                <w:sz w:val="20"/>
                <w:szCs w:val="20"/>
              </w:rPr>
              <w:t>Migration (</w:t>
            </w:r>
            <w:r w:rsidRPr="00A364DA">
              <w:rPr>
                <w:rFonts w:ascii="Aptos" w:hAnsi="Aptos"/>
                <w:sz w:val="20"/>
                <w:szCs w:val="20"/>
              </w:rPr>
              <w:t>LIN</w:t>
            </w:r>
            <w:r w:rsidRPr="00165D8C">
              <w:rPr>
                <w:rFonts w:ascii="Aptos" w:hAnsi="Aptos"/>
                <w:sz w:val="20"/>
                <w:szCs w:val="20"/>
              </w:rPr>
              <w:t xml:space="preserve"> 19/050: Specification of Occupations—Subclass 407 Visa) Instrument 2019</w:t>
            </w:r>
          </w:p>
        </w:tc>
        <w:tc>
          <w:tcPr>
            <w:tcW w:w="4508" w:type="dxa"/>
          </w:tcPr>
          <w:p w14:paraId="6E0FE858" w14:textId="437C53A8" w:rsidR="00DA522E" w:rsidRPr="00165D8C" w:rsidRDefault="008150A0" w:rsidP="00DA522E">
            <w:pPr>
              <w:rPr>
                <w:rFonts w:ascii="Aptos" w:hAnsi="Aptos"/>
                <w:sz w:val="20"/>
                <w:szCs w:val="20"/>
              </w:rPr>
            </w:pPr>
            <w:r w:rsidRPr="00165D8C">
              <w:rPr>
                <w:rFonts w:ascii="Aptos" w:hAnsi="Aptos"/>
                <w:sz w:val="20"/>
                <w:szCs w:val="20"/>
                <w:shd w:val="clear" w:color="auto" w:fill="FFFFFF"/>
              </w:rPr>
              <w:t>Training visa (subclass 407)</w:t>
            </w:r>
          </w:p>
        </w:tc>
      </w:tr>
      <w:tr w:rsidR="008150A0" w:rsidRPr="00165D8C" w14:paraId="0D129FAC" w14:textId="77777777" w:rsidTr="008150A0">
        <w:tc>
          <w:tcPr>
            <w:tcW w:w="4508" w:type="dxa"/>
          </w:tcPr>
          <w:p w14:paraId="1739E4A2" w14:textId="0036E685" w:rsidR="008150A0" w:rsidRPr="00165D8C" w:rsidRDefault="008150A0" w:rsidP="008150A0">
            <w:pPr>
              <w:rPr>
                <w:rFonts w:ascii="Aptos" w:hAnsi="Aptos"/>
                <w:sz w:val="20"/>
                <w:szCs w:val="20"/>
              </w:rPr>
            </w:pPr>
            <w:r w:rsidRPr="00165D8C">
              <w:rPr>
                <w:rFonts w:ascii="Aptos" w:hAnsi="Aptos"/>
                <w:sz w:val="20"/>
                <w:szCs w:val="20"/>
              </w:rPr>
              <w:t>Migration (</w:t>
            </w:r>
            <w:r w:rsidRPr="00A364DA">
              <w:rPr>
                <w:rFonts w:ascii="Aptos" w:hAnsi="Aptos"/>
                <w:sz w:val="20"/>
                <w:szCs w:val="20"/>
              </w:rPr>
              <w:t>LIN</w:t>
            </w:r>
            <w:r w:rsidRPr="00165D8C">
              <w:rPr>
                <w:rFonts w:ascii="Aptos" w:hAnsi="Aptos"/>
                <w:sz w:val="20"/>
                <w:szCs w:val="20"/>
              </w:rPr>
              <w:t xml:space="preserve"> 19/260: Assessing Authorities for Subclass 494 Visas) Instrument 2019</w:t>
            </w:r>
          </w:p>
        </w:tc>
        <w:tc>
          <w:tcPr>
            <w:tcW w:w="4508" w:type="dxa"/>
          </w:tcPr>
          <w:p w14:paraId="2304E003" w14:textId="55361A70" w:rsidR="008150A0" w:rsidRPr="00165D8C" w:rsidRDefault="008150A0" w:rsidP="008150A0">
            <w:pPr>
              <w:rPr>
                <w:rFonts w:ascii="Aptos" w:hAnsi="Aptos"/>
                <w:sz w:val="20"/>
                <w:szCs w:val="20"/>
              </w:rPr>
            </w:pPr>
            <w:r w:rsidRPr="00165D8C">
              <w:rPr>
                <w:rFonts w:ascii="Aptos" w:hAnsi="Aptos"/>
                <w:sz w:val="20"/>
                <w:szCs w:val="20"/>
                <w:shd w:val="clear" w:color="auto" w:fill="FFFFFF"/>
              </w:rPr>
              <w:t>Skilled Employer Sponsored Regional (Provisional) visa (subclass 494)</w:t>
            </w:r>
          </w:p>
        </w:tc>
      </w:tr>
    </w:tbl>
    <w:p w14:paraId="18429AEC" w14:textId="77777777" w:rsidR="00DA522E" w:rsidRPr="00165D8C" w:rsidRDefault="00DA522E" w:rsidP="00DA522E">
      <w:pPr>
        <w:rPr>
          <w:rFonts w:ascii="Aptos" w:hAnsi="Aptos"/>
        </w:rPr>
      </w:pPr>
    </w:p>
    <w:p w14:paraId="4AF8FF21" w14:textId="1B72BC9D" w:rsidR="00BE3107" w:rsidRPr="005314E1" w:rsidRDefault="007D2FA8" w:rsidP="0028250C">
      <w:pPr>
        <w:rPr>
          <w:rFonts w:ascii="Aptos" w:hAnsi="Aptos"/>
        </w:rPr>
      </w:pPr>
      <w:r w:rsidRPr="005314E1">
        <w:rPr>
          <w:rFonts w:ascii="Aptos" w:hAnsi="Aptos"/>
        </w:rPr>
        <w:t>Trades Recognition Australia</w:t>
      </w:r>
      <w:r w:rsidRPr="005314E1" w:rsidDel="007D2FA8">
        <w:rPr>
          <w:rFonts w:ascii="Aptos" w:hAnsi="Aptos"/>
        </w:rPr>
        <w:t xml:space="preserve"> </w:t>
      </w:r>
      <w:r w:rsidR="00BE3107" w:rsidRPr="005314E1">
        <w:rPr>
          <w:rFonts w:ascii="Aptos" w:hAnsi="Aptos"/>
        </w:rPr>
        <w:t xml:space="preserve">conducts skills assessments across </w:t>
      </w:r>
      <w:r w:rsidR="009C743C">
        <w:rPr>
          <w:rFonts w:ascii="Aptos" w:hAnsi="Aptos"/>
        </w:rPr>
        <w:t>six</w:t>
      </w:r>
      <w:r w:rsidR="00B03D60" w:rsidRPr="005314E1">
        <w:rPr>
          <w:rFonts w:ascii="Aptos" w:hAnsi="Aptos"/>
        </w:rPr>
        <w:t xml:space="preserve"> </w:t>
      </w:r>
      <w:r w:rsidR="00BE3107" w:rsidRPr="005314E1">
        <w:rPr>
          <w:rFonts w:ascii="Aptos" w:hAnsi="Aptos"/>
        </w:rPr>
        <w:t>pathways, explained further below, which differ depending on the eligibility criteria, processes, fees</w:t>
      </w:r>
      <w:r w:rsidR="00ED014F" w:rsidRPr="005314E1">
        <w:rPr>
          <w:rFonts w:ascii="Aptos" w:hAnsi="Aptos"/>
        </w:rPr>
        <w:t>,</w:t>
      </w:r>
      <w:r w:rsidR="00BE3107" w:rsidRPr="005314E1">
        <w:rPr>
          <w:rFonts w:ascii="Aptos" w:hAnsi="Aptos"/>
        </w:rPr>
        <w:t xml:space="preserve"> and final outcomes. </w:t>
      </w:r>
    </w:p>
    <w:p w14:paraId="79BC3529" w14:textId="1BCD99BF" w:rsidR="00901CE5" w:rsidRPr="005314E1" w:rsidRDefault="00BE3107" w:rsidP="005314E1">
      <w:pPr>
        <w:pStyle w:val="Heading3"/>
        <w:tabs>
          <w:tab w:val="left" w:pos="284"/>
          <w:tab w:val="left" w:pos="426"/>
          <w:tab w:val="left" w:pos="1418"/>
        </w:tabs>
        <w:rPr>
          <w:rFonts w:ascii="Aptos" w:hAnsi="Aptos"/>
          <w:b/>
          <w:bCs/>
          <w:color w:val="5D7A38"/>
        </w:rPr>
      </w:pPr>
      <w:bookmarkStart w:id="6" w:name="_Toc197608589"/>
      <w:bookmarkStart w:id="7" w:name="_Hlk109310857"/>
      <w:r w:rsidRPr="005314E1">
        <w:rPr>
          <w:rFonts w:ascii="Aptos" w:hAnsi="Aptos"/>
          <w:b/>
          <w:bCs/>
          <w:color w:val="5D7A38"/>
        </w:rPr>
        <w:t xml:space="preserve">Pathway 1: </w:t>
      </w:r>
      <w:r w:rsidR="008C236A" w:rsidRPr="005314E1">
        <w:rPr>
          <w:rFonts w:ascii="Aptos" w:hAnsi="Aptos"/>
          <w:b/>
          <w:bCs/>
          <w:color w:val="5D7A38"/>
        </w:rPr>
        <w:t>P</w:t>
      </w:r>
      <w:r w:rsidR="00422E9B" w:rsidRPr="005314E1">
        <w:rPr>
          <w:rFonts w:ascii="Aptos" w:hAnsi="Aptos"/>
          <w:b/>
          <w:bCs/>
          <w:color w:val="5D7A38"/>
        </w:rPr>
        <w:t>rovisional Skills Assessment</w:t>
      </w:r>
      <w:bookmarkEnd w:id="6"/>
      <w:r w:rsidR="00422E9B" w:rsidRPr="005314E1">
        <w:rPr>
          <w:rFonts w:ascii="Aptos" w:hAnsi="Aptos"/>
          <w:b/>
          <w:bCs/>
          <w:color w:val="5D7A38"/>
        </w:rPr>
        <w:t xml:space="preserve"> </w:t>
      </w:r>
    </w:p>
    <w:p w14:paraId="11B3EC5A" w14:textId="77777777" w:rsidR="005826A4" w:rsidRPr="005314E1" w:rsidRDefault="005826A4" w:rsidP="005826A4">
      <w:pPr>
        <w:rPr>
          <w:rFonts w:ascii="Aptos" w:hAnsi="Aptos"/>
        </w:rPr>
      </w:pPr>
      <w:r w:rsidRPr="005314E1">
        <w:rPr>
          <w:rFonts w:ascii="Aptos" w:hAnsi="Aptos"/>
        </w:rPr>
        <w:t xml:space="preserve">Provisional Skills Assessment is a desktop verification of an applicant’s Australian Qualifications Framework qualification and any relevant employment or vocational placement undertaken in an Australian workplace. This step is undertaken by Trades Recognition Australia staff and a successful outcome can be used for a Temporary Graduate work stream visa (subclass 485) and will enable a participant to progress through the Job Ready Program. </w:t>
      </w:r>
    </w:p>
    <w:p w14:paraId="6C4928C5" w14:textId="1A396291" w:rsidR="002C2C08" w:rsidRPr="006A4D4B" w:rsidRDefault="002C2C08" w:rsidP="002C2C08">
      <w:pPr>
        <w:pStyle w:val="Heading3"/>
        <w:tabs>
          <w:tab w:val="left" w:pos="284"/>
          <w:tab w:val="left" w:pos="426"/>
          <w:tab w:val="left" w:pos="1418"/>
        </w:tabs>
        <w:rPr>
          <w:rFonts w:ascii="Aptos" w:hAnsi="Aptos"/>
          <w:b/>
          <w:bCs/>
          <w:color w:val="5D7A38"/>
        </w:rPr>
      </w:pPr>
      <w:bookmarkStart w:id="8" w:name="_Toc197608590"/>
      <w:r w:rsidRPr="006A4D4B">
        <w:rPr>
          <w:rFonts w:ascii="Aptos" w:hAnsi="Aptos"/>
          <w:b/>
          <w:bCs/>
          <w:color w:val="5D7A38"/>
        </w:rPr>
        <w:t xml:space="preserve">Pathway </w:t>
      </w:r>
      <w:r w:rsidR="005826A4">
        <w:rPr>
          <w:rFonts w:ascii="Aptos" w:hAnsi="Aptos"/>
          <w:b/>
          <w:bCs/>
          <w:color w:val="5D7A38"/>
        </w:rPr>
        <w:t>2</w:t>
      </w:r>
      <w:r w:rsidRPr="006A4D4B">
        <w:rPr>
          <w:rFonts w:ascii="Aptos" w:hAnsi="Aptos"/>
          <w:b/>
          <w:bCs/>
          <w:color w:val="5D7A38"/>
        </w:rPr>
        <w:t>: Job Ready Program</w:t>
      </w:r>
      <w:r w:rsidR="00192C2F">
        <w:rPr>
          <w:rFonts w:ascii="Aptos" w:hAnsi="Aptos"/>
          <w:b/>
          <w:bCs/>
          <w:color w:val="5D7A38"/>
        </w:rPr>
        <w:t xml:space="preserve"> (three steps)</w:t>
      </w:r>
      <w:bookmarkEnd w:id="8"/>
    </w:p>
    <w:p w14:paraId="36E7EB8B" w14:textId="24BE0EF3" w:rsidR="0028250C" w:rsidRPr="00F77513" w:rsidRDefault="00BE3107" w:rsidP="00A0411D">
      <w:pPr>
        <w:pStyle w:val="Heading5"/>
        <w:rPr>
          <w:rFonts w:ascii="Aptos" w:hAnsi="Aptos"/>
          <w:color w:val="5D7A38"/>
        </w:rPr>
      </w:pPr>
      <w:r w:rsidRPr="00F77513">
        <w:rPr>
          <w:rFonts w:ascii="Aptos" w:hAnsi="Aptos"/>
          <w:color w:val="5D7A38"/>
        </w:rPr>
        <w:t xml:space="preserve">Job Ready Employment </w:t>
      </w:r>
    </w:p>
    <w:p w14:paraId="2152AE1E" w14:textId="23557ADC" w:rsidR="00BE3107" w:rsidRPr="005314E1" w:rsidRDefault="0028250C" w:rsidP="000570F3">
      <w:pPr>
        <w:rPr>
          <w:rFonts w:ascii="Aptos" w:hAnsi="Aptos"/>
        </w:rPr>
      </w:pPr>
      <w:r w:rsidRPr="005314E1">
        <w:rPr>
          <w:rFonts w:ascii="Aptos" w:hAnsi="Aptos"/>
        </w:rPr>
        <w:t xml:space="preserve">Job Ready Employment is </w:t>
      </w:r>
      <w:r w:rsidR="00BE3107" w:rsidRPr="005314E1">
        <w:rPr>
          <w:rFonts w:ascii="Aptos" w:hAnsi="Aptos"/>
        </w:rPr>
        <w:t xml:space="preserve">undertaken by </w:t>
      </w:r>
      <w:r w:rsidR="007D2FA8" w:rsidRPr="005314E1">
        <w:rPr>
          <w:rFonts w:ascii="Aptos" w:hAnsi="Aptos"/>
        </w:rPr>
        <w:t>Trades Recognition Australia</w:t>
      </w:r>
      <w:r w:rsidR="007D2FA8" w:rsidRPr="005314E1" w:rsidDel="007D2FA8">
        <w:rPr>
          <w:rFonts w:ascii="Aptos" w:hAnsi="Aptos"/>
        </w:rPr>
        <w:t xml:space="preserve"> </w:t>
      </w:r>
      <w:r w:rsidR="00BE3107" w:rsidRPr="005314E1">
        <w:rPr>
          <w:rFonts w:ascii="Aptos" w:hAnsi="Aptos"/>
        </w:rPr>
        <w:t xml:space="preserve">staff who monitor a participant over a minimum </w:t>
      </w:r>
      <w:r w:rsidR="00ED74B7" w:rsidRPr="005314E1">
        <w:rPr>
          <w:rFonts w:ascii="Aptos" w:hAnsi="Aptos"/>
        </w:rPr>
        <w:t>12-month</w:t>
      </w:r>
      <w:r w:rsidR="00BE3107" w:rsidRPr="005314E1">
        <w:rPr>
          <w:rFonts w:ascii="Aptos" w:hAnsi="Aptos"/>
        </w:rPr>
        <w:t xml:space="preserve"> period as they gain experience in an Australian workplace to further develop skills relevant to their nominated occupation.</w:t>
      </w:r>
    </w:p>
    <w:p w14:paraId="5005E06C" w14:textId="77777777" w:rsidR="005160BD" w:rsidRPr="00F77513" w:rsidRDefault="00BE3107" w:rsidP="00A0411D">
      <w:pPr>
        <w:pStyle w:val="Heading5"/>
        <w:rPr>
          <w:rFonts w:ascii="Aptos" w:hAnsi="Aptos"/>
          <w:color w:val="5D7A38"/>
        </w:rPr>
      </w:pPr>
      <w:r w:rsidRPr="00F77513">
        <w:rPr>
          <w:rFonts w:ascii="Aptos" w:hAnsi="Aptos"/>
          <w:color w:val="5D7A38"/>
        </w:rPr>
        <w:lastRenderedPageBreak/>
        <w:t>Job Ready Workplace Assessment</w:t>
      </w:r>
    </w:p>
    <w:p w14:paraId="07BBF34C" w14:textId="5BA76F7E" w:rsidR="00BE3107" w:rsidRPr="005314E1" w:rsidRDefault="005160BD" w:rsidP="000570F3">
      <w:pPr>
        <w:rPr>
          <w:rFonts w:ascii="Aptos" w:hAnsi="Aptos"/>
        </w:rPr>
      </w:pPr>
      <w:r w:rsidRPr="005314E1">
        <w:rPr>
          <w:rFonts w:ascii="Aptos" w:hAnsi="Aptos"/>
        </w:rPr>
        <w:t xml:space="preserve">These assessments are </w:t>
      </w:r>
      <w:r w:rsidR="00BE3107" w:rsidRPr="005314E1">
        <w:rPr>
          <w:rFonts w:ascii="Aptos" w:hAnsi="Aptos"/>
        </w:rPr>
        <w:t xml:space="preserve">undertaken by </w:t>
      </w:r>
      <w:r w:rsidR="007D2FA8" w:rsidRPr="005314E1">
        <w:rPr>
          <w:rFonts w:ascii="Aptos" w:hAnsi="Aptos"/>
        </w:rPr>
        <w:t>Trades Recognition Australia</w:t>
      </w:r>
      <w:r w:rsidR="007D2FA8" w:rsidRPr="005314E1" w:rsidDel="007D2FA8">
        <w:rPr>
          <w:rFonts w:ascii="Aptos" w:hAnsi="Aptos"/>
        </w:rPr>
        <w:t xml:space="preserve"> </w:t>
      </w:r>
      <w:r w:rsidR="00BE3107" w:rsidRPr="005314E1">
        <w:rPr>
          <w:rFonts w:ascii="Aptos" w:hAnsi="Aptos"/>
        </w:rPr>
        <w:t xml:space="preserve">approved </w:t>
      </w:r>
      <w:r w:rsidR="00AD223D" w:rsidRPr="005314E1">
        <w:rPr>
          <w:rFonts w:ascii="Aptos" w:hAnsi="Aptos"/>
        </w:rPr>
        <w:t>RTO</w:t>
      </w:r>
      <w:r w:rsidRPr="005314E1">
        <w:rPr>
          <w:rFonts w:ascii="Aptos" w:hAnsi="Aptos"/>
        </w:rPr>
        <w:t>s</w:t>
      </w:r>
      <w:r w:rsidR="00BE3107" w:rsidRPr="005314E1">
        <w:rPr>
          <w:rFonts w:ascii="Aptos" w:hAnsi="Aptos"/>
        </w:rPr>
        <w:t xml:space="preserve"> contracted to deliver this service. It is generally conducted in the participant’s workplace to determine whether they are working at the required skill level for their nominated occupation.</w:t>
      </w:r>
    </w:p>
    <w:p w14:paraId="6F94F62A" w14:textId="77777777" w:rsidR="005160BD" w:rsidRPr="00F77513" w:rsidRDefault="00BE3107" w:rsidP="00A0411D">
      <w:pPr>
        <w:pStyle w:val="Heading5"/>
        <w:rPr>
          <w:rFonts w:ascii="Aptos" w:hAnsi="Aptos"/>
          <w:color w:val="5D7A38"/>
        </w:rPr>
      </w:pPr>
      <w:r w:rsidRPr="00F77513">
        <w:rPr>
          <w:rFonts w:ascii="Aptos" w:hAnsi="Aptos"/>
          <w:color w:val="5D7A38"/>
        </w:rPr>
        <w:t>Job Ready Final Assessment</w:t>
      </w:r>
    </w:p>
    <w:p w14:paraId="269B1608" w14:textId="22DCAC6F" w:rsidR="00BE3107" w:rsidRPr="005314E1" w:rsidRDefault="005160BD" w:rsidP="000570F3">
      <w:pPr>
        <w:rPr>
          <w:rFonts w:ascii="Aptos" w:hAnsi="Aptos"/>
        </w:rPr>
      </w:pPr>
      <w:r w:rsidRPr="005314E1">
        <w:rPr>
          <w:rFonts w:ascii="Aptos" w:hAnsi="Aptos"/>
        </w:rPr>
        <w:t xml:space="preserve">The final assessment is </w:t>
      </w:r>
      <w:r w:rsidR="00BE3107" w:rsidRPr="005314E1">
        <w:rPr>
          <w:rFonts w:ascii="Aptos" w:hAnsi="Aptos"/>
        </w:rPr>
        <w:t xml:space="preserve">undertaken by </w:t>
      </w:r>
      <w:r w:rsidR="007D2FA8" w:rsidRPr="005314E1">
        <w:rPr>
          <w:rFonts w:ascii="Aptos" w:hAnsi="Aptos"/>
        </w:rPr>
        <w:t>Trades Recognition Australia</w:t>
      </w:r>
      <w:r w:rsidR="007D2FA8" w:rsidRPr="005314E1" w:rsidDel="007D2FA8">
        <w:rPr>
          <w:rFonts w:ascii="Aptos" w:hAnsi="Aptos"/>
        </w:rPr>
        <w:t xml:space="preserve"> </w:t>
      </w:r>
      <w:r w:rsidR="00BE3107" w:rsidRPr="005314E1">
        <w:rPr>
          <w:rFonts w:ascii="Aptos" w:hAnsi="Aptos"/>
        </w:rPr>
        <w:t>staff once the participant has met program requirements with the issuing of a successful outcome. The outcome will satisfy the skills assessment requirement for an application with Home Affairs for an independent skilled migration visa.</w:t>
      </w:r>
    </w:p>
    <w:p w14:paraId="567C4BA5" w14:textId="416D25D7" w:rsidR="00AD18D4" w:rsidRPr="00F77513" w:rsidRDefault="00AD18D4" w:rsidP="00355D64">
      <w:pPr>
        <w:pStyle w:val="Heading3"/>
        <w:tabs>
          <w:tab w:val="left" w:pos="284"/>
          <w:tab w:val="left" w:pos="426"/>
          <w:tab w:val="left" w:pos="1418"/>
        </w:tabs>
        <w:rPr>
          <w:rFonts w:ascii="Aptos" w:hAnsi="Aptos"/>
          <w:b/>
          <w:bCs/>
          <w:color w:val="5D7A38"/>
        </w:rPr>
      </w:pPr>
      <w:bookmarkStart w:id="9" w:name="_Toc197608591"/>
      <w:r w:rsidRPr="00F77513">
        <w:rPr>
          <w:rFonts w:ascii="Aptos" w:hAnsi="Aptos"/>
          <w:b/>
          <w:bCs/>
          <w:color w:val="5D7A38"/>
        </w:rPr>
        <w:t xml:space="preserve">Pathway </w:t>
      </w:r>
      <w:r w:rsidR="00192C2F">
        <w:rPr>
          <w:rFonts w:ascii="Aptos" w:hAnsi="Aptos"/>
          <w:b/>
          <w:bCs/>
          <w:color w:val="5D7A38"/>
        </w:rPr>
        <w:t>3</w:t>
      </w:r>
      <w:r w:rsidRPr="00F77513">
        <w:rPr>
          <w:rFonts w:ascii="Aptos" w:hAnsi="Aptos"/>
          <w:b/>
          <w:bCs/>
          <w:color w:val="5D7A38"/>
        </w:rPr>
        <w:t>: Migration Skills Assessment</w:t>
      </w:r>
      <w:bookmarkEnd w:id="9"/>
    </w:p>
    <w:p w14:paraId="2E33F653" w14:textId="13519215" w:rsidR="00AD18D4" w:rsidRPr="005314E1" w:rsidRDefault="00AD18D4" w:rsidP="0028250C">
      <w:pPr>
        <w:rPr>
          <w:rFonts w:ascii="Aptos" w:hAnsi="Aptos"/>
        </w:rPr>
      </w:pPr>
      <w:r w:rsidRPr="005314E1">
        <w:rPr>
          <w:rFonts w:ascii="Aptos" w:hAnsi="Aptos"/>
        </w:rPr>
        <w:t>Migration Skills Assessment is available to anyone, onshore and offshore, applying for a permanent skilled migration visa in an occupation and country that</w:t>
      </w:r>
      <w:r w:rsidR="00E609AD" w:rsidRPr="005314E1">
        <w:rPr>
          <w:rFonts w:ascii="Aptos" w:hAnsi="Aptos"/>
        </w:rPr>
        <w:t xml:space="preserve"> is</w:t>
      </w:r>
      <w:r w:rsidRPr="005314E1">
        <w:rPr>
          <w:rFonts w:ascii="Aptos" w:hAnsi="Aptos"/>
        </w:rPr>
        <w:t xml:space="preserve"> not required to be assessed by another </w:t>
      </w:r>
      <w:r w:rsidR="007D2FA8" w:rsidRPr="005314E1">
        <w:rPr>
          <w:rFonts w:ascii="Aptos" w:hAnsi="Aptos"/>
        </w:rPr>
        <w:t>Trades Recognition Australia</w:t>
      </w:r>
      <w:r w:rsidR="007D2FA8" w:rsidRPr="005314E1" w:rsidDel="007D2FA8">
        <w:rPr>
          <w:rFonts w:ascii="Aptos" w:hAnsi="Aptos"/>
        </w:rPr>
        <w:t xml:space="preserve"> </w:t>
      </w:r>
      <w:r w:rsidRPr="005314E1">
        <w:rPr>
          <w:rFonts w:ascii="Aptos" w:hAnsi="Aptos"/>
        </w:rPr>
        <w:t xml:space="preserve">pathway. To be eligible, an applicant’s occupation must be listed on the Medium and Long-term Strategic Skills List or the Short-term Skilled Occupations List, must be directly relevant to their qualification or apprenticeship and must be directly relevant to their employment. </w:t>
      </w:r>
    </w:p>
    <w:p w14:paraId="620A084A" w14:textId="504ACAC5" w:rsidR="00AD18D4" w:rsidRPr="005314E1" w:rsidRDefault="00AD18D4" w:rsidP="0028250C">
      <w:pPr>
        <w:rPr>
          <w:rFonts w:ascii="Aptos" w:hAnsi="Aptos"/>
        </w:rPr>
      </w:pPr>
      <w:r w:rsidRPr="005314E1">
        <w:rPr>
          <w:rFonts w:ascii="Aptos" w:hAnsi="Aptos"/>
        </w:rPr>
        <w:t xml:space="preserve">The Migration Skills Assessment is a documentary evidence-based assessment of an applicant’s qualification and employment history to determine whether this is comparable with Australian standards for a skilled worker in their nominated occupation. </w:t>
      </w:r>
    </w:p>
    <w:p w14:paraId="5AF53ADC" w14:textId="6051CB4B" w:rsidR="00AD18D4" w:rsidRPr="005314E1" w:rsidRDefault="007D2FA8" w:rsidP="0028250C">
      <w:pPr>
        <w:rPr>
          <w:rFonts w:ascii="Aptos" w:hAnsi="Aptos"/>
        </w:rPr>
      </w:pPr>
      <w:r w:rsidRPr="005314E1">
        <w:rPr>
          <w:rFonts w:ascii="Aptos" w:hAnsi="Aptos"/>
        </w:rPr>
        <w:t>Trades Recognition Australia</w:t>
      </w:r>
      <w:r w:rsidRPr="005314E1" w:rsidDel="007D2FA8">
        <w:rPr>
          <w:rFonts w:ascii="Aptos" w:hAnsi="Aptos"/>
        </w:rPr>
        <w:t xml:space="preserve"> </w:t>
      </w:r>
      <w:r w:rsidR="00AD18D4" w:rsidRPr="005314E1">
        <w:rPr>
          <w:rFonts w:ascii="Aptos" w:hAnsi="Aptos"/>
        </w:rPr>
        <w:t xml:space="preserve">staff review the verifiable documentary evidence provided by applicants to confirm it is comparable to an </w:t>
      </w:r>
      <w:r w:rsidR="00AD223D" w:rsidRPr="005314E1">
        <w:rPr>
          <w:rFonts w:ascii="Aptos" w:hAnsi="Aptos"/>
        </w:rPr>
        <w:t>AQF</w:t>
      </w:r>
      <w:r w:rsidR="00AD18D4" w:rsidRPr="005314E1">
        <w:rPr>
          <w:rFonts w:ascii="Aptos" w:hAnsi="Aptos"/>
        </w:rPr>
        <w:t xml:space="preserve"> qualification for the applicants’ nominated occupation, as well as employment evidence demonstrating the applicants’ skills and experience at the standard necessary to work in their nominated occupation in Australia.</w:t>
      </w:r>
    </w:p>
    <w:p w14:paraId="096BEBE8" w14:textId="3B5DF576" w:rsidR="00AD223D" w:rsidRPr="00F77513" w:rsidRDefault="00AD223D" w:rsidP="00355D64">
      <w:pPr>
        <w:pStyle w:val="Heading3"/>
        <w:rPr>
          <w:rFonts w:ascii="Aptos" w:hAnsi="Aptos"/>
          <w:b/>
          <w:bCs/>
          <w:color w:val="5D7A38"/>
        </w:rPr>
      </w:pPr>
      <w:bookmarkStart w:id="10" w:name="_Toc197608592"/>
      <w:r w:rsidRPr="00F77513">
        <w:rPr>
          <w:rFonts w:ascii="Aptos" w:hAnsi="Aptos"/>
          <w:b/>
          <w:bCs/>
          <w:color w:val="5D7A38"/>
        </w:rPr>
        <w:t xml:space="preserve">Pathway </w:t>
      </w:r>
      <w:r w:rsidR="00192C2F">
        <w:rPr>
          <w:rFonts w:ascii="Aptos" w:hAnsi="Aptos"/>
          <w:b/>
          <w:bCs/>
          <w:color w:val="5D7A38"/>
        </w:rPr>
        <w:t>4</w:t>
      </w:r>
      <w:r w:rsidRPr="00F77513">
        <w:rPr>
          <w:rFonts w:ascii="Aptos" w:hAnsi="Aptos"/>
          <w:b/>
          <w:bCs/>
          <w:color w:val="5D7A38"/>
        </w:rPr>
        <w:t>: Migration Points Advice</w:t>
      </w:r>
      <w:bookmarkEnd w:id="10"/>
    </w:p>
    <w:p w14:paraId="0C45C707" w14:textId="33D31951" w:rsidR="00AD223D" w:rsidRPr="005314E1" w:rsidRDefault="00AD223D" w:rsidP="0028250C">
      <w:pPr>
        <w:rPr>
          <w:rFonts w:ascii="Aptos" w:hAnsi="Aptos"/>
        </w:rPr>
      </w:pPr>
      <w:r w:rsidRPr="005314E1">
        <w:rPr>
          <w:rFonts w:ascii="Aptos" w:hAnsi="Aptos"/>
        </w:rPr>
        <w:t xml:space="preserve">Migration Points Advice </w:t>
      </w:r>
      <w:r w:rsidR="004C60B4" w:rsidRPr="005314E1">
        <w:rPr>
          <w:rFonts w:ascii="Aptos" w:hAnsi="Aptos"/>
        </w:rPr>
        <w:t>is available for anyone, onshore or offshore, with a successful Trades Recognition Australia skills assessment outcome, who wants to apply to the Department of Home Affairs for a points-tested, independent skilled migration visa.</w:t>
      </w:r>
      <w:r w:rsidRPr="005314E1">
        <w:rPr>
          <w:rFonts w:ascii="Aptos" w:hAnsi="Aptos"/>
        </w:rPr>
        <w:t xml:space="preserve"> </w:t>
      </w:r>
    </w:p>
    <w:p w14:paraId="6BF0FD4E" w14:textId="77777777" w:rsidR="00AD223D" w:rsidRPr="005314E1" w:rsidRDefault="00AD223D" w:rsidP="0028250C">
      <w:pPr>
        <w:rPr>
          <w:rFonts w:ascii="Aptos" w:hAnsi="Aptos"/>
        </w:rPr>
      </w:pPr>
      <w:r w:rsidRPr="005314E1">
        <w:rPr>
          <w:rFonts w:ascii="Aptos" w:hAnsi="Aptos"/>
        </w:rPr>
        <w:t xml:space="preserve">The Migration Points Advice is a documentary evidence-based assessment which is used to meet Home Affairs points requirements for skilled migration. A Migration Points Advice identifies an applicant’s comparable qualifications and periods of relevant employment. </w:t>
      </w:r>
    </w:p>
    <w:p w14:paraId="17328828" w14:textId="5620F816" w:rsidR="00AD223D" w:rsidRPr="005314E1" w:rsidRDefault="007D2FA8" w:rsidP="0028250C">
      <w:pPr>
        <w:rPr>
          <w:rFonts w:ascii="Aptos" w:hAnsi="Aptos"/>
        </w:rPr>
      </w:pPr>
      <w:r w:rsidRPr="005314E1">
        <w:rPr>
          <w:rFonts w:ascii="Aptos" w:hAnsi="Aptos"/>
        </w:rPr>
        <w:t>Trades Recognition Australia</w:t>
      </w:r>
      <w:r w:rsidRPr="005314E1" w:rsidDel="007D2FA8">
        <w:rPr>
          <w:rFonts w:ascii="Aptos" w:hAnsi="Aptos"/>
        </w:rPr>
        <w:t xml:space="preserve"> </w:t>
      </w:r>
      <w:r w:rsidR="00AD223D" w:rsidRPr="005314E1">
        <w:rPr>
          <w:rFonts w:ascii="Aptos" w:hAnsi="Aptos"/>
        </w:rPr>
        <w:t>staff review the verifiable documentary evidence provided by applicants to confirm it is comparable to an AQF qualification for the applicants’ nominated occupation, as well as employment evidence demonstrating the applicants’ skills and experience at the standard necessary to work in their nominated occupation in Australia.</w:t>
      </w:r>
    </w:p>
    <w:p w14:paraId="40D68F63" w14:textId="44BF2349" w:rsidR="00AD18D4" w:rsidRPr="00F77513" w:rsidRDefault="00AD18D4" w:rsidP="0037368E">
      <w:pPr>
        <w:pStyle w:val="Heading3"/>
        <w:tabs>
          <w:tab w:val="left" w:pos="284"/>
        </w:tabs>
        <w:rPr>
          <w:rFonts w:ascii="Aptos" w:hAnsi="Aptos"/>
          <w:b/>
          <w:bCs/>
          <w:color w:val="5D7A38"/>
        </w:rPr>
      </w:pPr>
      <w:bookmarkStart w:id="11" w:name="_Toc197608593"/>
      <w:r w:rsidRPr="00F77513">
        <w:rPr>
          <w:rFonts w:ascii="Aptos" w:hAnsi="Aptos"/>
          <w:b/>
          <w:bCs/>
          <w:color w:val="5D7A38"/>
        </w:rPr>
        <w:t xml:space="preserve">Pathway </w:t>
      </w:r>
      <w:r w:rsidR="00192C2F">
        <w:rPr>
          <w:rFonts w:ascii="Aptos" w:hAnsi="Aptos"/>
          <w:b/>
          <w:bCs/>
          <w:color w:val="5D7A38"/>
        </w:rPr>
        <w:t>5</w:t>
      </w:r>
      <w:r w:rsidR="00434E85" w:rsidRPr="00F77513">
        <w:rPr>
          <w:rFonts w:ascii="Aptos" w:hAnsi="Aptos"/>
          <w:b/>
          <w:bCs/>
          <w:color w:val="5D7A38"/>
        </w:rPr>
        <w:t xml:space="preserve"> and </w:t>
      </w:r>
      <w:r w:rsidR="00192C2F">
        <w:rPr>
          <w:rFonts w:ascii="Aptos" w:hAnsi="Aptos"/>
          <w:b/>
          <w:bCs/>
          <w:color w:val="5D7A38"/>
        </w:rPr>
        <w:t>6</w:t>
      </w:r>
      <w:r w:rsidRPr="00F77513">
        <w:rPr>
          <w:rFonts w:ascii="Aptos" w:hAnsi="Aptos"/>
          <w:b/>
          <w:bCs/>
          <w:color w:val="5D7A38"/>
        </w:rPr>
        <w:t>: RTO Assessment Services</w:t>
      </w:r>
      <w:r w:rsidR="00434E85" w:rsidRPr="00F77513">
        <w:rPr>
          <w:rFonts w:ascii="Aptos" w:hAnsi="Aptos"/>
          <w:b/>
          <w:bCs/>
          <w:color w:val="5D7A38"/>
        </w:rPr>
        <w:t xml:space="preserve"> | Offshore Skills Assessment Program and the Temporary Skills Shortage Skills Assessment</w:t>
      </w:r>
      <w:bookmarkEnd w:id="11"/>
      <w:r w:rsidRPr="00F77513">
        <w:rPr>
          <w:rFonts w:ascii="Aptos" w:hAnsi="Aptos"/>
          <w:b/>
          <w:bCs/>
          <w:color w:val="5D7A38"/>
        </w:rPr>
        <w:t xml:space="preserve"> </w:t>
      </w:r>
    </w:p>
    <w:p w14:paraId="0FF5ED2D" w14:textId="1AA88814" w:rsidR="0089544C" w:rsidRPr="005314E1" w:rsidRDefault="0089544C" w:rsidP="0028250C">
      <w:pPr>
        <w:rPr>
          <w:rFonts w:ascii="Aptos" w:hAnsi="Aptos"/>
        </w:rPr>
      </w:pPr>
      <w:r w:rsidRPr="005314E1">
        <w:rPr>
          <w:rFonts w:ascii="Aptos" w:hAnsi="Aptos"/>
        </w:rPr>
        <w:t xml:space="preserve">The Offshore Skills Assessment Program and Temporary Skills Shortage Skills Assessment Program are for permanent and temporary migration respectively. </w:t>
      </w:r>
      <w:r w:rsidR="007D2FA8" w:rsidRPr="005314E1">
        <w:rPr>
          <w:rFonts w:ascii="Aptos" w:hAnsi="Aptos"/>
        </w:rPr>
        <w:t>Trades Recognition Australia</w:t>
      </w:r>
      <w:r w:rsidR="007D2FA8" w:rsidRPr="005314E1" w:rsidDel="007D2FA8">
        <w:rPr>
          <w:rFonts w:ascii="Aptos" w:hAnsi="Aptos"/>
        </w:rPr>
        <w:t xml:space="preserve"> </w:t>
      </w:r>
      <w:r w:rsidRPr="005314E1">
        <w:rPr>
          <w:rFonts w:ascii="Aptos" w:hAnsi="Aptos"/>
        </w:rPr>
        <w:t xml:space="preserve">engages </w:t>
      </w:r>
      <w:r w:rsidR="00434E85" w:rsidRPr="005314E1">
        <w:rPr>
          <w:rFonts w:ascii="Aptos" w:hAnsi="Aptos"/>
        </w:rPr>
        <w:t>RTOs</w:t>
      </w:r>
      <w:r w:rsidRPr="005314E1">
        <w:rPr>
          <w:rFonts w:ascii="Aptos" w:hAnsi="Aptos"/>
        </w:rPr>
        <w:t xml:space="preserve"> to perform aspects of the skills assessment process on its behalf under these programs. The skills assessments are for non</w:t>
      </w:r>
      <w:r w:rsidR="00434E85" w:rsidRPr="005314E1">
        <w:rPr>
          <w:rFonts w:ascii="Aptos" w:hAnsi="Aptos"/>
        </w:rPr>
        <w:noBreakHyphen/>
      </w:r>
      <w:r w:rsidRPr="005314E1">
        <w:rPr>
          <w:rFonts w:ascii="Aptos" w:hAnsi="Aptos"/>
        </w:rPr>
        <w:t xml:space="preserve">Australian passport holders who have gained trade skills overseas or in Australia in nominated occupations </w:t>
      </w:r>
      <w:r w:rsidR="00B33EEC" w:rsidRPr="005314E1">
        <w:rPr>
          <w:rFonts w:ascii="Aptos" w:hAnsi="Aptos"/>
        </w:rPr>
        <w:t>(</w:t>
      </w:r>
      <w:r w:rsidR="00434E85" w:rsidRPr="005314E1">
        <w:rPr>
          <w:rFonts w:ascii="Aptos" w:hAnsi="Aptos"/>
        </w:rPr>
        <w:t xml:space="preserve">Offshore Skills Assessment Program </w:t>
      </w:r>
      <w:r w:rsidR="00B33EEC" w:rsidRPr="005314E1">
        <w:rPr>
          <w:rFonts w:ascii="Aptos" w:hAnsi="Aptos"/>
        </w:rPr>
        <w:t xml:space="preserve">has 30 and </w:t>
      </w:r>
      <w:r w:rsidR="00434E85" w:rsidRPr="005314E1">
        <w:rPr>
          <w:rFonts w:ascii="Aptos" w:hAnsi="Aptos"/>
        </w:rPr>
        <w:t xml:space="preserve">Temporary Skills Shortage Skills Assessment Program </w:t>
      </w:r>
      <w:r w:rsidR="00B33EEC" w:rsidRPr="005314E1">
        <w:rPr>
          <w:rFonts w:ascii="Aptos" w:hAnsi="Aptos"/>
        </w:rPr>
        <w:t xml:space="preserve">has 23) </w:t>
      </w:r>
      <w:r w:rsidRPr="005314E1">
        <w:rPr>
          <w:rFonts w:ascii="Aptos" w:hAnsi="Aptos"/>
        </w:rPr>
        <w:t xml:space="preserve">for the purpose of migration and skills </w:t>
      </w:r>
      <w:r w:rsidR="00907728" w:rsidRPr="005314E1">
        <w:rPr>
          <w:rFonts w:ascii="Aptos" w:hAnsi="Aptos"/>
        </w:rPr>
        <w:t>recognition.</w:t>
      </w:r>
    </w:p>
    <w:p w14:paraId="3E187D93" w14:textId="23BDEAB9" w:rsidR="0089544C" w:rsidRPr="005314E1" w:rsidRDefault="0089544C" w:rsidP="0028250C">
      <w:pPr>
        <w:rPr>
          <w:rFonts w:ascii="Aptos" w:hAnsi="Aptos"/>
        </w:rPr>
      </w:pPr>
      <w:r w:rsidRPr="005314E1">
        <w:rPr>
          <w:rFonts w:ascii="Aptos" w:hAnsi="Aptos"/>
        </w:rPr>
        <w:lastRenderedPageBreak/>
        <w:t xml:space="preserve">The skills assessment </w:t>
      </w:r>
      <w:r w:rsidR="00143EDE" w:rsidRPr="005314E1">
        <w:rPr>
          <w:rFonts w:ascii="Aptos" w:hAnsi="Aptos"/>
        </w:rPr>
        <w:t xml:space="preserve">begins with </w:t>
      </w:r>
      <w:r w:rsidRPr="005314E1">
        <w:rPr>
          <w:rFonts w:ascii="Aptos" w:hAnsi="Aptos"/>
        </w:rPr>
        <w:t xml:space="preserve">a </w:t>
      </w:r>
      <w:r w:rsidR="00434E85" w:rsidRPr="005314E1">
        <w:rPr>
          <w:rFonts w:ascii="Aptos" w:hAnsi="Aptos"/>
        </w:rPr>
        <w:t>d</w:t>
      </w:r>
      <w:r w:rsidRPr="005314E1">
        <w:rPr>
          <w:rFonts w:ascii="Aptos" w:hAnsi="Aptos"/>
        </w:rPr>
        <w:t xml:space="preserve">ocumentary </w:t>
      </w:r>
      <w:r w:rsidR="00434E85" w:rsidRPr="005314E1">
        <w:rPr>
          <w:rFonts w:ascii="Aptos" w:hAnsi="Aptos"/>
        </w:rPr>
        <w:t>e</w:t>
      </w:r>
      <w:r w:rsidRPr="005314E1">
        <w:rPr>
          <w:rFonts w:ascii="Aptos" w:hAnsi="Aptos"/>
        </w:rPr>
        <w:t xml:space="preserve">vidence </w:t>
      </w:r>
      <w:r w:rsidR="00434E85" w:rsidRPr="005314E1">
        <w:rPr>
          <w:rFonts w:ascii="Aptos" w:hAnsi="Aptos"/>
        </w:rPr>
        <w:t>a</w:t>
      </w:r>
      <w:r w:rsidRPr="005314E1">
        <w:rPr>
          <w:rFonts w:ascii="Aptos" w:hAnsi="Aptos"/>
        </w:rPr>
        <w:t>ssessment that reviews the documents that provide evidence of the applicant’s identification, qualifications and employment experience.</w:t>
      </w:r>
    </w:p>
    <w:p w14:paraId="3E968815" w14:textId="0AEEC28F" w:rsidR="0089544C" w:rsidRPr="005314E1" w:rsidRDefault="0089544C" w:rsidP="0028250C">
      <w:pPr>
        <w:rPr>
          <w:rFonts w:ascii="Aptos" w:hAnsi="Aptos"/>
        </w:rPr>
      </w:pPr>
      <w:r w:rsidRPr="005314E1">
        <w:rPr>
          <w:rFonts w:ascii="Aptos" w:hAnsi="Aptos"/>
        </w:rPr>
        <w:t xml:space="preserve">If successful, the applicant will be required to participate in a </w:t>
      </w:r>
      <w:r w:rsidR="00434E85" w:rsidRPr="005314E1">
        <w:rPr>
          <w:rFonts w:ascii="Aptos" w:hAnsi="Aptos"/>
        </w:rPr>
        <w:t>t</w:t>
      </w:r>
      <w:r w:rsidRPr="005314E1">
        <w:rPr>
          <w:rFonts w:ascii="Aptos" w:hAnsi="Aptos"/>
        </w:rPr>
        <w:t xml:space="preserve">echnical </w:t>
      </w:r>
      <w:r w:rsidR="00434E85" w:rsidRPr="005314E1">
        <w:rPr>
          <w:rFonts w:ascii="Aptos" w:hAnsi="Aptos"/>
        </w:rPr>
        <w:t>a</w:t>
      </w:r>
      <w:r w:rsidRPr="005314E1">
        <w:rPr>
          <w:rFonts w:ascii="Aptos" w:hAnsi="Aptos"/>
        </w:rPr>
        <w:t xml:space="preserve">ssessment of skills and knowledge, conducted by a qualified assessor who will also be a qualified tradesperson in your nominated occupation. </w:t>
      </w:r>
    </w:p>
    <w:p w14:paraId="2FEF58DC" w14:textId="4E791EDD" w:rsidR="0089544C" w:rsidRPr="005314E1" w:rsidRDefault="0089544C" w:rsidP="0028250C">
      <w:pPr>
        <w:rPr>
          <w:rFonts w:ascii="Aptos" w:hAnsi="Aptos"/>
        </w:rPr>
      </w:pPr>
      <w:r w:rsidRPr="005314E1">
        <w:rPr>
          <w:rFonts w:ascii="Aptos" w:hAnsi="Aptos"/>
        </w:rPr>
        <w:t xml:space="preserve">The assessor collects evidence to determine if the applicant </w:t>
      </w:r>
      <w:r w:rsidR="00907728" w:rsidRPr="005314E1">
        <w:rPr>
          <w:rFonts w:ascii="Aptos" w:hAnsi="Aptos"/>
        </w:rPr>
        <w:t>can undertake</w:t>
      </w:r>
      <w:r w:rsidRPr="005314E1">
        <w:rPr>
          <w:rFonts w:ascii="Aptos" w:hAnsi="Aptos"/>
        </w:rPr>
        <w:t xml:space="preserve"> the full range of tasks expected of a tradesperson in Australia for the nominated occupation against the Australian qualification nominated for that occupation. This will involve a technical interview of skills and gathering evidence from nominated employers or other referees.</w:t>
      </w:r>
    </w:p>
    <w:p w14:paraId="4315B96A" w14:textId="20AAC840" w:rsidR="0089544C" w:rsidRPr="005314E1" w:rsidRDefault="0089544C" w:rsidP="0028250C">
      <w:pPr>
        <w:rPr>
          <w:rFonts w:ascii="Aptos" w:hAnsi="Aptos"/>
        </w:rPr>
      </w:pPr>
      <w:r w:rsidRPr="005314E1">
        <w:rPr>
          <w:rFonts w:ascii="Aptos" w:hAnsi="Aptos"/>
        </w:rPr>
        <w:t xml:space="preserve">If the applicant is applying for a nominated occupation that requires a licence, a </w:t>
      </w:r>
      <w:r w:rsidR="00434E85" w:rsidRPr="005314E1">
        <w:rPr>
          <w:rFonts w:ascii="Aptos" w:hAnsi="Aptos"/>
        </w:rPr>
        <w:t>p</w:t>
      </w:r>
      <w:r w:rsidRPr="005314E1">
        <w:rPr>
          <w:rFonts w:ascii="Aptos" w:hAnsi="Aptos"/>
        </w:rPr>
        <w:t xml:space="preserve">ractical </w:t>
      </w:r>
      <w:r w:rsidR="00434E85" w:rsidRPr="005314E1">
        <w:rPr>
          <w:rFonts w:ascii="Aptos" w:hAnsi="Aptos"/>
        </w:rPr>
        <w:t>a</w:t>
      </w:r>
      <w:r w:rsidRPr="005314E1">
        <w:rPr>
          <w:rFonts w:ascii="Aptos" w:hAnsi="Aptos"/>
        </w:rPr>
        <w:t>ssessment will also take place. The four nominated licenced occupations are Airconditioning and Refrigeration Mechanic, Electrician (General), Electrician (Special Class) and Plumber (General).</w:t>
      </w:r>
    </w:p>
    <w:p w14:paraId="73E502B6" w14:textId="77777777" w:rsidR="0089544C" w:rsidRPr="005314E1" w:rsidRDefault="0089544C" w:rsidP="0028250C">
      <w:pPr>
        <w:rPr>
          <w:rFonts w:ascii="Aptos" w:hAnsi="Aptos"/>
        </w:rPr>
      </w:pPr>
      <w:r w:rsidRPr="005314E1">
        <w:rPr>
          <w:rFonts w:ascii="Aptos" w:hAnsi="Aptos"/>
        </w:rPr>
        <w:t>Successful applicants in the non-licensed occupations will be awarded the relevant Australian VET qualification, if they do not already hold one, and a skilled migration outcome letter that can be used to support a visa application. If the occupation was licenced, the applicant will receive the skilled migration outcome letter as well as an Offshore Technical Skills Record that will allow the applicant to seek provisional licencing while they undertake additional work experience and training before being the qualification and granted a full licence (upon application to the relevant authority in their chosen jurisdiction).</w:t>
      </w:r>
    </w:p>
    <w:p w14:paraId="414952F2" w14:textId="4AA9744F" w:rsidR="00EB768F" w:rsidRPr="005314E1" w:rsidRDefault="00EB768F" w:rsidP="0028250C">
      <w:pPr>
        <w:rPr>
          <w:rFonts w:ascii="Aptos" w:hAnsi="Aptos"/>
        </w:rPr>
      </w:pPr>
      <w:r w:rsidRPr="005314E1">
        <w:rPr>
          <w:rFonts w:ascii="Aptos" w:hAnsi="Aptos"/>
        </w:rPr>
        <w:t xml:space="preserve">The only material difference between the assessment processes is that </w:t>
      </w:r>
      <w:r w:rsidR="039DA6BC" w:rsidRPr="7FDA9552">
        <w:rPr>
          <w:rFonts w:ascii="Aptos" w:hAnsi="Aptos"/>
        </w:rPr>
        <w:t xml:space="preserve">a </w:t>
      </w:r>
      <w:r w:rsidRPr="005314E1">
        <w:rPr>
          <w:rFonts w:ascii="Aptos" w:hAnsi="Aptos"/>
        </w:rPr>
        <w:t xml:space="preserve">Temporary Skills Shortage Skills Assessment is aligned to a specific visa class and is expected to take no more than nine weeks from the first application payment to completion while </w:t>
      </w:r>
      <w:r w:rsidR="1EA7123A" w:rsidRPr="7FDA9552">
        <w:rPr>
          <w:rFonts w:ascii="Aptos" w:hAnsi="Aptos"/>
        </w:rPr>
        <w:t xml:space="preserve">an </w:t>
      </w:r>
      <w:r w:rsidRPr="005314E1">
        <w:rPr>
          <w:rFonts w:ascii="Aptos" w:hAnsi="Aptos"/>
        </w:rPr>
        <w:t>Offshore Skills Assessment Program is expected to take no more than 15 weeks</w:t>
      </w:r>
    </w:p>
    <w:p w14:paraId="6F228468" w14:textId="57879C99" w:rsidR="00EB4C37" w:rsidRPr="002D3BB2" w:rsidRDefault="0089544C" w:rsidP="002D3BB2">
      <w:pPr>
        <w:pStyle w:val="Heading1"/>
        <w:shd w:val="clear" w:color="auto" w:fill="404246"/>
        <w:rPr>
          <w:color w:val="FFFFFF" w:themeColor="background1"/>
          <w:lang w:eastAsia="en-AU"/>
        </w:rPr>
      </w:pPr>
      <w:bookmarkStart w:id="12" w:name="_Toc197608594"/>
      <w:r w:rsidRPr="00165D8C">
        <w:rPr>
          <w:sz w:val="20"/>
          <w:szCs w:val="20"/>
        </w:rPr>
        <w:t>.</w:t>
      </w:r>
      <w:bookmarkEnd w:id="7"/>
      <w:r w:rsidR="00EB4C37" w:rsidRPr="002D3BB2">
        <w:rPr>
          <w:color w:val="FFFFFF" w:themeColor="background1"/>
          <w:lang w:eastAsia="en-AU"/>
        </w:rPr>
        <w:t xml:space="preserve">2. </w:t>
      </w:r>
      <w:r w:rsidR="00EB4C37" w:rsidRPr="005314E1">
        <w:rPr>
          <w:color w:val="FFFFFF" w:themeColor="background1"/>
          <w:lang w:eastAsia="en-AU"/>
        </w:rPr>
        <w:t>POLICY AND STATUTORY AUTHORITY TO CHARGE</w:t>
      </w:r>
      <w:bookmarkEnd w:id="12"/>
      <w:r w:rsidR="00EB4C37" w:rsidRPr="005314E1">
        <w:rPr>
          <w:color w:val="FFFFFF" w:themeColor="background1"/>
          <w:lang w:eastAsia="en-AU"/>
        </w:rPr>
        <w:t xml:space="preserve"> </w:t>
      </w:r>
    </w:p>
    <w:p w14:paraId="02238B91" w14:textId="404F4A6C" w:rsidR="00AD18D4" w:rsidRPr="00F77513" w:rsidRDefault="00AD18D4" w:rsidP="009B0FB5">
      <w:pPr>
        <w:pStyle w:val="Heading2"/>
        <w:rPr>
          <w:color w:val="5D7A38"/>
        </w:rPr>
      </w:pPr>
      <w:bookmarkStart w:id="13" w:name="_Toc197608595"/>
      <w:r w:rsidRPr="00F77513">
        <w:rPr>
          <w:color w:val="5D7A38"/>
        </w:rPr>
        <w:t>2.1</w:t>
      </w:r>
      <w:r w:rsidR="00EB4C37" w:rsidRPr="00F77513">
        <w:rPr>
          <w:color w:val="5D7A38"/>
        </w:rPr>
        <w:t>.</w:t>
      </w:r>
      <w:r w:rsidRPr="00F77513">
        <w:rPr>
          <w:color w:val="5D7A38"/>
        </w:rPr>
        <w:t xml:space="preserve"> Government policy approval to cost recover the regulatory activity</w:t>
      </w:r>
      <w:bookmarkEnd w:id="13"/>
    </w:p>
    <w:p w14:paraId="32DA4991" w14:textId="0FCCAF23" w:rsidR="00AD18D4" w:rsidRPr="005314E1" w:rsidRDefault="00AD18D4" w:rsidP="0028250C">
      <w:pPr>
        <w:rPr>
          <w:rFonts w:ascii="Aptos" w:hAnsi="Aptos"/>
        </w:rPr>
      </w:pPr>
      <w:r w:rsidRPr="005314E1">
        <w:rPr>
          <w:rFonts w:ascii="Aptos" w:hAnsi="Aptos"/>
        </w:rPr>
        <w:t xml:space="preserve">Authority for implementation of cost recovery of </w:t>
      </w:r>
      <w:r w:rsidR="007D2FA8" w:rsidRPr="005314E1">
        <w:rPr>
          <w:rFonts w:ascii="Aptos" w:hAnsi="Aptos"/>
        </w:rPr>
        <w:t>Trades Recognition Australia</w:t>
      </w:r>
      <w:r w:rsidR="007D2FA8" w:rsidRPr="005314E1" w:rsidDel="007D2FA8">
        <w:rPr>
          <w:rFonts w:ascii="Aptos" w:hAnsi="Aptos"/>
        </w:rPr>
        <w:t xml:space="preserve"> </w:t>
      </w:r>
      <w:r w:rsidRPr="005314E1">
        <w:rPr>
          <w:rFonts w:ascii="Aptos" w:hAnsi="Aptos"/>
        </w:rPr>
        <w:t>programs occurred in two stages:</w:t>
      </w:r>
    </w:p>
    <w:p w14:paraId="25F0831E" w14:textId="400102F4" w:rsidR="00AD18D4" w:rsidRPr="00165D8C" w:rsidRDefault="00AD18D4" w:rsidP="00355D64">
      <w:pPr>
        <w:tabs>
          <w:tab w:val="clear" w:pos="3325"/>
          <w:tab w:val="left" w:pos="284"/>
          <w:tab w:val="center" w:pos="851"/>
        </w:tabs>
        <w:rPr>
          <w:rFonts w:ascii="Aptos" w:hAnsi="Aptos"/>
        </w:rPr>
      </w:pPr>
      <w:bookmarkStart w:id="14" w:name="_Toc197608596"/>
      <w:r w:rsidRPr="00F77513">
        <w:rPr>
          <w:rStyle w:val="Heading3Char"/>
          <w:rFonts w:ascii="Aptos" w:hAnsi="Aptos"/>
          <w:b/>
          <w:bCs/>
          <w:color w:val="5D7A38"/>
        </w:rPr>
        <w:t>Stage 1:</w:t>
      </w:r>
      <w:bookmarkEnd w:id="14"/>
      <w:r w:rsidRPr="00F77513">
        <w:rPr>
          <w:rFonts w:ascii="Aptos" w:hAnsi="Aptos"/>
          <w:color w:val="5D7A38"/>
        </w:rPr>
        <w:t xml:space="preserve"> </w:t>
      </w:r>
      <w:r w:rsidRPr="005314E1">
        <w:rPr>
          <w:rFonts w:ascii="Aptos" w:hAnsi="Aptos"/>
        </w:rPr>
        <w:t>The Offshore Skills Assessment Program and the Temporary Skills Shortage Skills Assessment Program commenced cost recovery activity on 1 March 2019</w:t>
      </w:r>
      <w:r w:rsidR="001A55D0" w:rsidRPr="007B639D">
        <w:rPr>
          <w:vertAlign w:val="superscript"/>
        </w:rPr>
        <w:footnoteReference w:id="3"/>
      </w:r>
      <w:r w:rsidRPr="005314E1">
        <w:rPr>
          <w:rFonts w:ascii="Aptos" w:hAnsi="Aptos"/>
        </w:rPr>
        <w:t xml:space="preserve"> following implementation of partial cost recovery arrangements announced as part of the Mid-Year Economic and Fiscal Outlook 2015-16</w:t>
      </w:r>
      <w:r w:rsidR="00A335AE" w:rsidRPr="00535C7F">
        <w:rPr>
          <w:rStyle w:val="FootnoteReference"/>
          <w:rFonts w:ascii="Aptos" w:hAnsi="Aptos"/>
          <w:sz w:val="20"/>
          <w:szCs w:val="20"/>
        </w:rPr>
        <w:footnoteReference w:id="4"/>
      </w:r>
      <w:r w:rsidRPr="00165D8C">
        <w:rPr>
          <w:rFonts w:ascii="Aptos" w:hAnsi="Aptos"/>
          <w:sz w:val="20"/>
          <w:szCs w:val="20"/>
        </w:rPr>
        <w:t>.</w:t>
      </w:r>
    </w:p>
    <w:p w14:paraId="17CC9D19" w14:textId="0233D5FB" w:rsidR="00AD18D4" w:rsidRPr="00165D8C" w:rsidRDefault="00AD18D4" w:rsidP="00355D64">
      <w:pPr>
        <w:tabs>
          <w:tab w:val="left" w:pos="284"/>
        </w:tabs>
        <w:rPr>
          <w:rFonts w:ascii="Aptos" w:hAnsi="Aptos"/>
          <w:sz w:val="20"/>
          <w:szCs w:val="20"/>
        </w:rPr>
      </w:pPr>
      <w:bookmarkStart w:id="15" w:name="_Toc197608597"/>
      <w:r w:rsidRPr="00F77513">
        <w:rPr>
          <w:rStyle w:val="Heading3Char"/>
          <w:rFonts w:ascii="Aptos" w:hAnsi="Aptos"/>
          <w:b/>
          <w:bCs/>
          <w:color w:val="5D7A38"/>
        </w:rPr>
        <w:t>Stage 2:</w:t>
      </w:r>
      <w:bookmarkEnd w:id="15"/>
      <w:r w:rsidRPr="00F77513">
        <w:rPr>
          <w:rFonts w:ascii="Aptos" w:hAnsi="Aptos"/>
          <w:color w:val="5D7A38"/>
        </w:rPr>
        <w:t xml:space="preserve"> </w:t>
      </w:r>
      <w:r w:rsidRPr="005314E1">
        <w:rPr>
          <w:rFonts w:ascii="Aptos" w:hAnsi="Aptos"/>
        </w:rPr>
        <w:t xml:space="preserve">The Job Ready Program, </w:t>
      </w:r>
      <w:r w:rsidR="000F7E95" w:rsidRPr="005314E1">
        <w:rPr>
          <w:rFonts w:ascii="Aptos" w:hAnsi="Aptos"/>
        </w:rPr>
        <w:t xml:space="preserve">Migration </w:t>
      </w:r>
      <w:r w:rsidRPr="005314E1">
        <w:rPr>
          <w:rFonts w:ascii="Aptos" w:hAnsi="Aptos"/>
        </w:rPr>
        <w:t xml:space="preserve">Points Advice and </w:t>
      </w:r>
      <w:r w:rsidR="000F7E95" w:rsidRPr="005314E1">
        <w:rPr>
          <w:rFonts w:ascii="Aptos" w:hAnsi="Aptos"/>
        </w:rPr>
        <w:t xml:space="preserve">Migration </w:t>
      </w:r>
      <w:r w:rsidRPr="005314E1">
        <w:rPr>
          <w:rFonts w:ascii="Aptos" w:hAnsi="Aptos"/>
        </w:rPr>
        <w:t>Skills Assessments, commenced full cost recovery on 1 September 2021 as part of the 2021-22 Budget</w:t>
      </w:r>
      <w:r w:rsidR="001A55D0" w:rsidRPr="00165D8C">
        <w:rPr>
          <w:rStyle w:val="FootnoteReference"/>
          <w:rFonts w:ascii="Aptos" w:hAnsi="Aptos"/>
          <w:sz w:val="20"/>
          <w:szCs w:val="20"/>
        </w:rPr>
        <w:footnoteReference w:id="5"/>
      </w:r>
      <w:r w:rsidRPr="00165D8C">
        <w:rPr>
          <w:rFonts w:ascii="Aptos" w:hAnsi="Aptos"/>
          <w:sz w:val="20"/>
          <w:szCs w:val="20"/>
        </w:rPr>
        <w:t>.</w:t>
      </w:r>
    </w:p>
    <w:p w14:paraId="45A31715" w14:textId="5CA483A1" w:rsidR="00AD18D4" w:rsidRPr="005314E1" w:rsidRDefault="00AD18D4" w:rsidP="0028250C">
      <w:pPr>
        <w:rPr>
          <w:rFonts w:ascii="Aptos" w:hAnsi="Aptos"/>
        </w:rPr>
      </w:pPr>
      <w:r w:rsidRPr="005314E1">
        <w:rPr>
          <w:rFonts w:ascii="Aptos" w:hAnsi="Aptos"/>
        </w:rPr>
        <w:t xml:space="preserve">The Australian Government announced as part of the Stage 2 implementation that a review of all cost recovery arrangements would occur in July 2022 with a view to amalgamating </w:t>
      </w:r>
      <w:r w:rsidR="007D2FA8" w:rsidRPr="005314E1">
        <w:rPr>
          <w:rFonts w:ascii="Aptos" w:hAnsi="Aptos"/>
        </w:rPr>
        <w:t>Trades Recognition Australia</w:t>
      </w:r>
      <w:r w:rsidR="007D2FA8" w:rsidRPr="005314E1" w:rsidDel="007D2FA8">
        <w:rPr>
          <w:rFonts w:ascii="Aptos" w:hAnsi="Aptos"/>
        </w:rPr>
        <w:t xml:space="preserve"> </w:t>
      </w:r>
      <w:r w:rsidRPr="005314E1">
        <w:rPr>
          <w:rFonts w:ascii="Aptos" w:hAnsi="Aptos"/>
        </w:rPr>
        <w:t xml:space="preserve">activities into a single cost recovery model and provide for an initial </w:t>
      </w:r>
      <w:r w:rsidRPr="005314E1">
        <w:rPr>
          <w:rFonts w:ascii="Aptos" w:hAnsi="Aptos"/>
        </w:rPr>
        <w:lastRenderedPageBreak/>
        <w:t>review including new outsourced contracting arrangements, and to take effect by around September 2022.</w:t>
      </w:r>
    </w:p>
    <w:p w14:paraId="30241802" w14:textId="4321D792" w:rsidR="00AD18D4" w:rsidRPr="005314E1" w:rsidRDefault="00AD18D4" w:rsidP="0028250C">
      <w:pPr>
        <w:rPr>
          <w:rFonts w:ascii="Aptos" w:hAnsi="Aptos"/>
        </w:rPr>
      </w:pPr>
      <w:r w:rsidRPr="005314E1">
        <w:rPr>
          <w:rFonts w:ascii="Aptos" w:hAnsi="Aptos"/>
        </w:rPr>
        <w:t xml:space="preserve">Following this initial review, the single </w:t>
      </w:r>
      <w:r w:rsidR="007D2FA8" w:rsidRPr="005314E1">
        <w:rPr>
          <w:rFonts w:ascii="Aptos" w:hAnsi="Aptos"/>
        </w:rPr>
        <w:t>Trades Recognition Australia</w:t>
      </w:r>
      <w:r w:rsidR="007D2FA8" w:rsidRPr="005314E1" w:rsidDel="007D2FA8">
        <w:rPr>
          <w:rFonts w:ascii="Aptos" w:hAnsi="Aptos"/>
        </w:rPr>
        <w:t xml:space="preserve"> </w:t>
      </w:r>
      <w:r w:rsidRPr="005314E1">
        <w:rPr>
          <w:rFonts w:ascii="Aptos" w:hAnsi="Aptos"/>
        </w:rPr>
        <w:t>cost recovery model will be reviewed biennially, commencing in 202</w:t>
      </w:r>
      <w:r w:rsidR="00907728" w:rsidRPr="005314E1">
        <w:rPr>
          <w:rFonts w:ascii="Aptos" w:hAnsi="Aptos"/>
        </w:rPr>
        <w:t>4</w:t>
      </w:r>
      <w:r w:rsidRPr="005314E1">
        <w:rPr>
          <w:rFonts w:ascii="Aptos" w:hAnsi="Aptos"/>
        </w:rPr>
        <w:t>-25.</w:t>
      </w:r>
      <w:r w:rsidR="00847D8C" w:rsidRPr="005314E1">
        <w:rPr>
          <w:rFonts w:ascii="Aptos" w:hAnsi="Aptos"/>
        </w:rPr>
        <w:t xml:space="preserve"> The Trades Recognition Australia cost recovery model has been reviewed ahead of </w:t>
      </w:r>
      <w:r w:rsidR="00F1362C" w:rsidRPr="005314E1">
        <w:rPr>
          <w:rFonts w:ascii="Aptos" w:hAnsi="Aptos"/>
        </w:rPr>
        <w:t xml:space="preserve">2024-25 </w:t>
      </w:r>
      <w:r w:rsidR="000959BD" w:rsidRPr="005314E1">
        <w:rPr>
          <w:rFonts w:ascii="Aptos" w:hAnsi="Aptos"/>
        </w:rPr>
        <w:t xml:space="preserve">due to </w:t>
      </w:r>
      <w:r w:rsidR="00743EF4" w:rsidRPr="005314E1">
        <w:rPr>
          <w:rFonts w:ascii="Aptos" w:hAnsi="Aptos"/>
        </w:rPr>
        <w:t>significant increase in demand</w:t>
      </w:r>
      <w:r w:rsidR="00530F81" w:rsidRPr="005314E1">
        <w:rPr>
          <w:rFonts w:ascii="Aptos" w:hAnsi="Aptos"/>
        </w:rPr>
        <w:t xml:space="preserve">. </w:t>
      </w:r>
      <w:r w:rsidR="00741D85" w:rsidRPr="005314E1">
        <w:rPr>
          <w:rFonts w:ascii="Aptos" w:hAnsi="Aptos"/>
        </w:rPr>
        <w:t>A</w:t>
      </w:r>
      <w:r w:rsidR="00D43C41" w:rsidRPr="005314E1">
        <w:rPr>
          <w:rFonts w:ascii="Aptos" w:hAnsi="Aptos"/>
        </w:rPr>
        <w:t xml:space="preserve"> </w:t>
      </w:r>
      <w:r w:rsidR="008C2D5E" w:rsidRPr="005314E1">
        <w:rPr>
          <w:rFonts w:ascii="Aptos" w:hAnsi="Aptos"/>
        </w:rPr>
        <w:t>subsequent official</w:t>
      </w:r>
      <w:r w:rsidR="00D43C41" w:rsidRPr="005314E1">
        <w:rPr>
          <w:rFonts w:ascii="Aptos" w:hAnsi="Aptos"/>
        </w:rPr>
        <w:t xml:space="preserve"> review will</w:t>
      </w:r>
      <w:r w:rsidR="00E13D7C" w:rsidRPr="005314E1">
        <w:rPr>
          <w:rFonts w:ascii="Aptos" w:hAnsi="Aptos"/>
        </w:rPr>
        <w:t xml:space="preserve"> commence in 2025-26 to reflect the biennial </w:t>
      </w:r>
      <w:r w:rsidR="009D2F68" w:rsidRPr="005314E1">
        <w:rPr>
          <w:rFonts w:ascii="Aptos" w:hAnsi="Aptos"/>
        </w:rPr>
        <w:t>review arrangement</w:t>
      </w:r>
      <w:r w:rsidR="00F954A6" w:rsidRPr="005314E1">
        <w:rPr>
          <w:rFonts w:ascii="Aptos" w:hAnsi="Aptos"/>
        </w:rPr>
        <w:t>.</w:t>
      </w:r>
    </w:p>
    <w:p w14:paraId="1509BDEB" w14:textId="33818149" w:rsidR="00AD18D4" w:rsidRPr="00F77513" w:rsidRDefault="00AD18D4" w:rsidP="009B0FB5">
      <w:pPr>
        <w:pStyle w:val="Heading2"/>
        <w:rPr>
          <w:color w:val="5D7A38"/>
        </w:rPr>
      </w:pPr>
      <w:bookmarkStart w:id="16" w:name="_Toc197608598"/>
      <w:r w:rsidRPr="00F77513">
        <w:rPr>
          <w:color w:val="5D7A38"/>
        </w:rPr>
        <w:t>2.2</w:t>
      </w:r>
      <w:r w:rsidR="00EB4C37" w:rsidRPr="00F77513">
        <w:rPr>
          <w:color w:val="5D7A38"/>
        </w:rPr>
        <w:t>.</w:t>
      </w:r>
      <w:r w:rsidRPr="00F77513">
        <w:rPr>
          <w:color w:val="5D7A38"/>
        </w:rPr>
        <w:t xml:space="preserve"> Statutory authority to charge</w:t>
      </w:r>
      <w:bookmarkEnd w:id="16"/>
    </w:p>
    <w:p w14:paraId="31C7A2AF" w14:textId="630D5A9E" w:rsidR="00AD18D4" w:rsidRPr="00165D8C" w:rsidRDefault="007D2FA8" w:rsidP="0028250C">
      <w:pPr>
        <w:rPr>
          <w:rFonts w:ascii="Aptos" w:hAnsi="Aptos"/>
          <w:sz w:val="20"/>
          <w:szCs w:val="20"/>
        </w:rPr>
      </w:pPr>
      <w:r w:rsidRPr="005314E1">
        <w:rPr>
          <w:rFonts w:ascii="Aptos" w:hAnsi="Aptos"/>
        </w:rPr>
        <w:t>Trades Recognition Australia</w:t>
      </w:r>
      <w:r w:rsidRPr="005314E1" w:rsidDel="007D2FA8">
        <w:rPr>
          <w:rFonts w:ascii="Aptos" w:hAnsi="Aptos"/>
        </w:rPr>
        <w:t xml:space="preserve"> </w:t>
      </w:r>
      <w:r w:rsidR="00AD18D4" w:rsidRPr="005314E1">
        <w:rPr>
          <w:rFonts w:ascii="Aptos" w:hAnsi="Aptos"/>
        </w:rPr>
        <w:t>is a skilled migration assessing authority, authorised under the Government’s skilled migration program operating under the Migration Act 1958</w:t>
      </w:r>
      <w:r w:rsidR="001A55D0" w:rsidRPr="7FDA9552">
        <w:rPr>
          <w:rStyle w:val="FootnoteReference"/>
          <w:rFonts w:ascii="Aptos" w:hAnsi="Aptos"/>
          <w:i/>
          <w:iCs/>
          <w:sz w:val="20"/>
          <w:szCs w:val="20"/>
        </w:rPr>
        <w:footnoteReference w:id="6"/>
      </w:r>
      <w:r w:rsidR="00AD18D4" w:rsidRPr="00165D8C">
        <w:rPr>
          <w:rFonts w:ascii="Aptos" w:hAnsi="Aptos"/>
          <w:sz w:val="20"/>
          <w:szCs w:val="20"/>
        </w:rPr>
        <w:t xml:space="preserve"> </w:t>
      </w:r>
      <w:r w:rsidR="00AD18D4" w:rsidRPr="005314E1">
        <w:rPr>
          <w:rFonts w:ascii="Aptos" w:hAnsi="Aptos"/>
        </w:rPr>
        <w:t>and the Migration Regulations 1994</w:t>
      </w:r>
      <w:r w:rsidR="001A55D0" w:rsidRPr="007B639D">
        <w:rPr>
          <w:vertAlign w:val="superscript"/>
        </w:rPr>
        <w:footnoteReference w:id="7"/>
      </w:r>
      <w:r w:rsidR="00AD18D4" w:rsidRPr="005314E1">
        <w:rPr>
          <w:rFonts w:ascii="Aptos" w:hAnsi="Aptos"/>
        </w:rPr>
        <w:t>, to assess the trade skills of prospective migrants.</w:t>
      </w:r>
    </w:p>
    <w:p w14:paraId="18530FA4" w14:textId="0C50C416" w:rsidR="00926691" w:rsidRPr="00165D8C" w:rsidRDefault="00926691" w:rsidP="00926691">
      <w:pPr>
        <w:rPr>
          <w:rFonts w:ascii="Aptos" w:hAnsi="Aptos"/>
          <w:sz w:val="20"/>
          <w:szCs w:val="20"/>
        </w:rPr>
      </w:pPr>
      <w:r w:rsidRPr="005314E1">
        <w:rPr>
          <w:rFonts w:ascii="Aptos" w:hAnsi="Aptos"/>
        </w:rPr>
        <w:t>Authority for Trades Recognition Australia</w:t>
      </w:r>
      <w:r w:rsidRPr="005314E1" w:rsidDel="007D2FA8">
        <w:rPr>
          <w:rFonts w:ascii="Aptos" w:hAnsi="Aptos"/>
        </w:rPr>
        <w:t xml:space="preserve"> </w:t>
      </w:r>
      <w:r w:rsidRPr="005314E1">
        <w:rPr>
          <w:rFonts w:ascii="Aptos" w:hAnsi="Aptos"/>
        </w:rPr>
        <w:t>to charge fees for assessment of a person’s work qualifications and experience is provided by Regulation 5.40</w:t>
      </w:r>
      <w:r w:rsidR="00ED7ECB" w:rsidRPr="005314E1">
        <w:rPr>
          <w:rFonts w:ascii="Aptos" w:hAnsi="Aptos"/>
        </w:rPr>
        <w:t>(1)</w:t>
      </w:r>
      <w:r w:rsidRPr="005314E1">
        <w:rPr>
          <w:rFonts w:ascii="Aptos" w:hAnsi="Aptos"/>
        </w:rPr>
        <w:t xml:space="preserve"> of the Migration Regulations, with specific fees detailed in </w:t>
      </w:r>
      <w:r w:rsidR="00EB4C37" w:rsidRPr="005314E1">
        <w:rPr>
          <w:rFonts w:ascii="Aptos" w:hAnsi="Aptos"/>
        </w:rPr>
        <w:t>Migration (Fees for assessment of qualifications and experience) Instrument (</w:t>
      </w:r>
      <w:r w:rsidR="00EB4C37" w:rsidRPr="00BE7E76">
        <w:rPr>
          <w:rFonts w:ascii="Aptos" w:hAnsi="Aptos"/>
        </w:rPr>
        <w:t>LIN</w:t>
      </w:r>
      <w:r w:rsidR="00EB4C37" w:rsidRPr="005314E1">
        <w:rPr>
          <w:rFonts w:ascii="Aptos" w:hAnsi="Aptos"/>
        </w:rPr>
        <w:t xml:space="preserve"> 23/002) 2023</w:t>
      </w:r>
      <w:r w:rsidR="00403A79" w:rsidRPr="00165D8C">
        <w:rPr>
          <w:rStyle w:val="FootnoteReference"/>
          <w:rFonts w:ascii="Aptos" w:hAnsi="Aptos"/>
          <w:i/>
          <w:iCs/>
          <w:sz w:val="20"/>
          <w:szCs w:val="20"/>
        </w:rPr>
        <w:footnoteReference w:id="8"/>
      </w:r>
      <w:r w:rsidR="00403A79" w:rsidRPr="00165D8C">
        <w:rPr>
          <w:rFonts w:ascii="Aptos" w:hAnsi="Aptos"/>
          <w:i/>
          <w:iCs/>
          <w:sz w:val="20"/>
          <w:szCs w:val="20"/>
        </w:rPr>
        <w:t xml:space="preserve">. </w:t>
      </w:r>
    </w:p>
    <w:p w14:paraId="70C6E4EB" w14:textId="226FF479" w:rsidR="00AD18D4" w:rsidRPr="002D3BB2" w:rsidRDefault="00AD18D4" w:rsidP="002D3BB2">
      <w:pPr>
        <w:pStyle w:val="Heading1"/>
        <w:shd w:val="clear" w:color="auto" w:fill="404246"/>
        <w:rPr>
          <w:color w:val="FFFFFF" w:themeColor="background1"/>
          <w:lang w:eastAsia="en-AU"/>
        </w:rPr>
      </w:pPr>
      <w:bookmarkStart w:id="17" w:name="_Toc197608599"/>
      <w:r w:rsidRPr="002D3BB2">
        <w:rPr>
          <w:color w:val="FFFFFF" w:themeColor="background1"/>
          <w:lang w:eastAsia="en-AU"/>
        </w:rPr>
        <w:t>3.  C</w:t>
      </w:r>
      <w:r w:rsidR="00EB4C37" w:rsidRPr="002D3BB2">
        <w:rPr>
          <w:color w:val="FFFFFF" w:themeColor="background1"/>
          <w:lang w:eastAsia="en-AU"/>
        </w:rPr>
        <w:t>OST RECOVERY MODEL</w:t>
      </w:r>
      <w:bookmarkEnd w:id="17"/>
    </w:p>
    <w:p w14:paraId="5BBECD8A" w14:textId="5CEF793F" w:rsidR="00AD18D4" w:rsidRPr="00F77513" w:rsidRDefault="00AD18D4" w:rsidP="009B0FB5">
      <w:pPr>
        <w:pStyle w:val="Heading2"/>
        <w:rPr>
          <w:color w:val="5D7A38"/>
        </w:rPr>
      </w:pPr>
      <w:bookmarkStart w:id="18" w:name="_Toc197608600"/>
      <w:r w:rsidRPr="00F77513">
        <w:rPr>
          <w:color w:val="5D7A38"/>
        </w:rPr>
        <w:t>3.1</w:t>
      </w:r>
      <w:r w:rsidR="00EB4C37" w:rsidRPr="00F77513">
        <w:rPr>
          <w:color w:val="5D7A38"/>
        </w:rPr>
        <w:t>.</w:t>
      </w:r>
      <w:r w:rsidRPr="00F77513">
        <w:rPr>
          <w:color w:val="5D7A38"/>
        </w:rPr>
        <w:t xml:space="preserve"> Outputs and business processes of the regulatory charging activity</w:t>
      </w:r>
      <w:bookmarkEnd w:id="18"/>
      <w:r w:rsidRPr="00F77513">
        <w:rPr>
          <w:color w:val="5D7A38"/>
        </w:rPr>
        <w:t xml:space="preserve">  </w:t>
      </w:r>
    </w:p>
    <w:p w14:paraId="41E01E6B" w14:textId="77777777" w:rsidR="00AD18D4" w:rsidRPr="005314E1" w:rsidRDefault="00AD18D4" w:rsidP="0028250C">
      <w:pPr>
        <w:rPr>
          <w:rFonts w:ascii="Aptos" w:hAnsi="Aptos"/>
        </w:rPr>
      </w:pPr>
      <w:r w:rsidRPr="005314E1">
        <w:rPr>
          <w:rFonts w:ascii="Aptos" w:hAnsi="Aptos"/>
        </w:rPr>
        <w:t>The Cost Recovery Guidelines note the need to break down the activity into distinct outputs and the key business processes that are used to produce those outputs. These outputs should have a discernible link with the costs, charges and performance of the activity.</w:t>
      </w:r>
    </w:p>
    <w:p w14:paraId="4DFBCF4E" w14:textId="043F35B4" w:rsidR="00AD18D4" w:rsidRPr="005314E1" w:rsidRDefault="00AD18D4" w:rsidP="0028250C">
      <w:pPr>
        <w:rPr>
          <w:rFonts w:ascii="Aptos" w:hAnsi="Aptos"/>
        </w:rPr>
      </w:pPr>
      <w:r w:rsidRPr="005314E1">
        <w:rPr>
          <w:rFonts w:ascii="Aptos" w:hAnsi="Aptos"/>
        </w:rPr>
        <w:t xml:space="preserve">This section describes the outputs and business processes for </w:t>
      </w:r>
      <w:r w:rsidR="007D2FA8" w:rsidRPr="005314E1">
        <w:rPr>
          <w:rFonts w:ascii="Aptos" w:hAnsi="Aptos"/>
        </w:rPr>
        <w:t>Trades Recognition Australia</w:t>
      </w:r>
      <w:r w:rsidRPr="005314E1">
        <w:rPr>
          <w:rFonts w:ascii="Aptos" w:hAnsi="Aptos"/>
        </w:rPr>
        <w:t>’s activities.</w:t>
      </w:r>
    </w:p>
    <w:p w14:paraId="504CB468" w14:textId="07FBF2F7" w:rsidR="00AD18D4" w:rsidRPr="005314E1" w:rsidRDefault="007D2FA8" w:rsidP="0028250C">
      <w:pPr>
        <w:rPr>
          <w:rFonts w:ascii="Aptos" w:hAnsi="Aptos"/>
        </w:rPr>
      </w:pPr>
      <w:r w:rsidRPr="005314E1">
        <w:rPr>
          <w:rFonts w:ascii="Aptos" w:hAnsi="Aptos"/>
        </w:rPr>
        <w:t>Trades Recognition Australia</w:t>
      </w:r>
      <w:r w:rsidRPr="005314E1" w:rsidDel="007D2FA8">
        <w:rPr>
          <w:rFonts w:ascii="Aptos" w:hAnsi="Aptos"/>
        </w:rPr>
        <w:t xml:space="preserve"> </w:t>
      </w:r>
      <w:r w:rsidR="00AD18D4" w:rsidRPr="005314E1">
        <w:rPr>
          <w:rFonts w:ascii="Aptos" w:hAnsi="Aptos"/>
        </w:rPr>
        <w:t>has two activities, which are:</w:t>
      </w:r>
    </w:p>
    <w:p w14:paraId="29B1E827" w14:textId="67A4A686" w:rsidR="00AD18D4" w:rsidRPr="005314E1" w:rsidRDefault="00AD18D4" w:rsidP="0028250C">
      <w:pPr>
        <w:pStyle w:val="ListParagraph"/>
        <w:numPr>
          <w:ilvl w:val="0"/>
          <w:numId w:val="8"/>
        </w:numPr>
        <w:rPr>
          <w:rFonts w:ascii="Aptos" w:eastAsiaTheme="minorHAnsi" w:hAnsi="Aptos" w:cstheme="minorBidi"/>
          <w:lang w:eastAsia="en-US"/>
        </w:rPr>
      </w:pPr>
      <w:r w:rsidRPr="005314E1">
        <w:rPr>
          <w:rFonts w:ascii="Aptos" w:eastAsiaTheme="minorHAnsi" w:hAnsi="Aptos" w:cstheme="minorBidi"/>
          <w:lang w:eastAsia="en-US"/>
        </w:rPr>
        <w:t xml:space="preserve">assessing applications and reviews, which contains outputs and business processes that are assessment-based (initiated by an application to </w:t>
      </w:r>
      <w:r w:rsidR="007D2FA8" w:rsidRPr="005314E1">
        <w:rPr>
          <w:rFonts w:ascii="Aptos" w:eastAsiaTheme="minorHAnsi" w:hAnsi="Aptos" w:cstheme="minorBidi"/>
          <w:lang w:eastAsia="en-US"/>
        </w:rPr>
        <w:t>Trades Recognition Australia</w:t>
      </w:r>
      <w:r w:rsidR="007D2FA8" w:rsidRPr="005314E1" w:rsidDel="007D2FA8">
        <w:rPr>
          <w:rFonts w:ascii="Aptos" w:eastAsiaTheme="minorHAnsi" w:hAnsi="Aptos" w:cstheme="minorBidi"/>
          <w:lang w:eastAsia="en-US"/>
        </w:rPr>
        <w:t xml:space="preserve"> </w:t>
      </w:r>
      <w:r w:rsidRPr="005314E1">
        <w:rPr>
          <w:rFonts w:ascii="Aptos" w:eastAsiaTheme="minorHAnsi" w:hAnsi="Aptos" w:cstheme="minorBidi"/>
          <w:lang w:eastAsia="en-US"/>
        </w:rPr>
        <w:t>for a skills assessment), and</w:t>
      </w:r>
    </w:p>
    <w:p w14:paraId="2923E900" w14:textId="329556BF" w:rsidR="00AD18D4" w:rsidRPr="005314E1" w:rsidRDefault="00AD18D4" w:rsidP="0028250C">
      <w:pPr>
        <w:pStyle w:val="ListParagraph"/>
        <w:numPr>
          <w:ilvl w:val="0"/>
          <w:numId w:val="8"/>
        </w:numPr>
        <w:rPr>
          <w:rFonts w:ascii="Aptos" w:eastAsiaTheme="minorHAnsi" w:hAnsi="Aptos" w:cstheme="minorBidi"/>
          <w:lang w:eastAsia="en-US"/>
        </w:rPr>
      </w:pPr>
      <w:r w:rsidRPr="005314E1">
        <w:rPr>
          <w:rFonts w:ascii="Aptos" w:eastAsiaTheme="minorHAnsi" w:hAnsi="Aptos" w:cstheme="minorBidi"/>
          <w:lang w:eastAsia="en-US"/>
        </w:rPr>
        <w:t xml:space="preserve">program management and administration, which contains outputs and business processes that are non-assessment-based (initiated by </w:t>
      </w:r>
      <w:r w:rsidR="007D2FA8" w:rsidRPr="005314E1">
        <w:rPr>
          <w:rFonts w:ascii="Aptos" w:eastAsiaTheme="minorHAnsi" w:hAnsi="Aptos" w:cstheme="minorBidi"/>
          <w:lang w:eastAsia="en-US"/>
        </w:rPr>
        <w:t>Trades Recognition Australia</w:t>
      </w:r>
      <w:r w:rsidR="007D2FA8" w:rsidRPr="005314E1" w:rsidDel="007D2FA8">
        <w:rPr>
          <w:rFonts w:ascii="Aptos" w:eastAsiaTheme="minorHAnsi" w:hAnsi="Aptos" w:cstheme="minorBidi"/>
          <w:lang w:eastAsia="en-US"/>
        </w:rPr>
        <w:t xml:space="preserve"> </w:t>
      </w:r>
      <w:r w:rsidRPr="005314E1">
        <w:rPr>
          <w:rFonts w:ascii="Aptos" w:eastAsiaTheme="minorHAnsi" w:hAnsi="Aptos" w:cstheme="minorBidi"/>
          <w:lang w:eastAsia="en-US"/>
        </w:rPr>
        <w:t xml:space="preserve">for </w:t>
      </w:r>
      <w:r w:rsidR="00CD7AA3" w:rsidRPr="005314E1">
        <w:rPr>
          <w:rFonts w:ascii="Aptos" w:eastAsiaTheme="minorHAnsi" w:hAnsi="Aptos" w:cstheme="minorBidi"/>
          <w:lang w:eastAsia="en-US"/>
        </w:rPr>
        <w:t>business-as-usual</w:t>
      </w:r>
      <w:r w:rsidRPr="005314E1">
        <w:rPr>
          <w:rFonts w:ascii="Aptos" w:eastAsiaTheme="minorHAnsi" w:hAnsi="Aptos" w:cstheme="minorBidi"/>
          <w:lang w:eastAsia="en-US"/>
        </w:rPr>
        <w:t xml:space="preserve"> operations)</w:t>
      </w:r>
    </w:p>
    <w:p w14:paraId="61AE6DC1" w14:textId="77777777" w:rsidR="00AD18D4" w:rsidRPr="00165D8C" w:rsidRDefault="00AD18D4" w:rsidP="0028250C">
      <w:pPr>
        <w:rPr>
          <w:rFonts w:ascii="Aptos" w:hAnsi="Aptos"/>
        </w:rPr>
      </w:pPr>
      <w:r w:rsidRPr="00165D8C">
        <w:rPr>
          <w:rFonts w:ascii="Aptos" w:hAnsi="Aptos"/>
        </w:rPr>
        <w:t>These activities are broken down into the outputs and business processes in Figures 1 and 2. The outputs and business processes are based on the Department’s experience of key regulatory impacts of the program.</w:t>
      </w:r>
    </w:p>
    <w:p w14:paraId="7BB56D43" w14:textId="77777777" w:rsidR="00AD18D4" w:rsidRPr="00165D8C" w:rsidRDefault="00AD18D4" w:rsidP="0028250C">
      <w:pPr>
        <w:rPr>
          <w:rFonts w:ascii="Aptos" w:hAnsi="Aptos"/>
        </w:rPr>
      </w:pPr>
      <w:r w:rsidRPr="00165D8C">
        <w:rPr>
          <w:rFonts w:ascii="Aptos" w:hAnsi="Aptos"/>
        </w:rPr>
        <w:t xml:space="preserve">The business processes associated with effort expended on assessing applications and reviews are shown in Figure 1, while business processes associated with effort expended on program management and administration, including IT maintenance and compliance, are shown in Figure 2. </w:t>
      </w:r>
    </w:p>
    <w:p w14:paraId="7A2D8F9C" w14:textId="77777777" w:rsidR="00AD18D4" w:rsidRPr="00165D8C" w:rsidRDefault="00AD18D4" w:rsidP="0028250C">
      <w:pPr>
        <w:rPr>
          <w:rFonts w:ascii="Aptos" w:hAnsi="Aptos"/>
        </w:rPr>
      </w:pPr>
      <w:r w:rsidRPr="00165D8C">
        <w:rPr>
          <w:rFonts w:ascii="Aptos" w:hAnsi="Aptos"/>
        </w:rPr>
        <w:lastRenderedPageBreak/>
        <w:t>These types of cost recovery activities, and their corresponding outputs and business processes, are consistent with the Cost Recovery Guidelines.</w:t>
      </w:r>
    </w:p>
    <w:p w14:paraId="1ECF0810" w14:textId="6B454FC9" w:rsidR="00AD18D4" w:rsidRPr="00A00766" w:rsidRDefault="00AD18D4" w:rsidP="008A3B46">
      <w:pPr>
        <w:pStyle w:val="Heading4"/>
        <w:rPr>
          <w:rFonts w:ascii="Aptos" w:hAnsi="Aptos"/>
          <w:color w:val="5D7A38"/>
        </w:rPr>
      </w:pPr>
      <w:bookmarkStart w:id="19" w:name="_Toc197608601"/>
      <w:bookmarkStart w:id="20" w:name="_Hlk109311390"/>
      <w:r w:rsidRPr="00A00766">
        <w:rPr>
          <w:rFonts w:ascii="Aptos" w:hAnsi="Aptos"/>
          <w:b/>
          <w:bCs/>
          <w:color w:val="5D7A38"/>
        </w:rPr>
        <w:t>Figure 1</w:t>
      </w:r>
      <w:r w:rsidRPr="00A00766">
        <w:rPr>
          <w:rFonts w:ascii="Aptos" w:hAnsi="Aptos"/>
          <w:color w:val="5D7A38"/>
        </w:rPr>
        <w:t>. Activity 1 –applications delivery and review.</w:t>
      </w:r>
      <w:bookmarkEnd w:id="19"/>
    </w:p>
    <w:tbl>
      <w:tblPr>
        <w:tblStyle w:val="TableGrid"/>
        <w:tblW w:w="10632" w:type="dxa"/>
        <w:tblInd w:w="-714" w:type="dxa"/>
        <w:tblLook w:val="04A0" w:firstRow="1" w:lastRow="0" w:firstColumn="1" w:lastColumn="0" w:noHBand="0" w:noVBand="1"/>
      </w:tblPr>
      <w:tblGrid>
        <w:gridCol w:w="2977"/>
        <w:gridCol w:w="7655"/>
      </w:tblGrid>
      <w:tr w:rsidR="001332C1" w:rsidRPr="00165D8C" w14:paraId="3D4B32F9" w14:textId="77777777" w:rsidTr="00397C30">
        <w:trPr>
          <w:trHeight w:val="474"/>
        </w:trPr>
        <w:tc>
          <w:tcPr>
            <w:tcW w:w="2977" w:type="dxa"/>
            <w:tcBorders>
              <w:bottom w:val="single" w:sz="4" w:space="0" w:color="auto"/>
            </w:tcBorders>
            <w:shd w:val="clear" w:color="auto" w:fill="7A9F4C"/>
            <w:vAlign w:val="center"/>
          </w:tcPr>
          <w:p w14:paraId="2D1F3014" w14:textId="22BED6D6" w:rsidR="001332C1" w:rsidRPr="007825E7" w:rsidRDefault="005D1BC6" w:rsidP="00397C30">
            <w:pPr>
              <w:jc w:val="center"/>
              <w:rPr>
                <w:rFonts w:ascii="Aptos" w:hAnsi="Aptos"/>
                <w:color w:val="FFFFFF" w:themeColor="background1"/>
              </w:rPr>
            </w:pPr>
            <w:r w:rsidRPr="007825E7">
              <w:rPr>
                <w:rFonts w:ascii="Aptos" w:hAnsi="Aptos"/>
                <w:b/>
                <w:bCs/>
                <w:color w:val="FFFFFF" w:themeColor="background1"/>
              </w:rPr>
              <w:t>Output 1: Receive</w:t>
            </w:r>
          </w:p>
        </w:tc>
        <w:tc>
          <w:tcPr>
            <w:tcW w:w="7655" w:type="dxa"/>
            <w:tcBorders>
              <w:bottom w:val="single" w:sz="4" w:space="0" w:color="auto"/>
            </w:tcBorders>
            <w:shd w:val="clear" w:color="auto" w:fill="D7D8D8"/>
          </w:tcPr>
          <w:p w14:paraId="02276B47" w14:textId="27C23B26" w:rsidR="001332C1" w:rsidRPr="009076DA" w:rsidRDefault="005D1BC6" w:rsidP="006D6475">
            <w:pPr>
              <w:numPr>
                <w:ilvl w:val="0"/>
                <w:numId w:val="8"/>
              </w:numPr>
              <w:tabs>
                <w:tab w:val="clear" w:pos="3325"/>
              </w:tabs>
              <w:spacing w:after="0"/>
              <w:ind w:left="714" w:hanging="357"/>
              <w:rPr>
                <w:rFonts w:ascii="Aptos" w:hAnsi="Aptos"/>
              </w:rPr>
            </w:pPr>
            <w:r w:rsidRPr="006D6475">
              <w:rPr>
                <w:rFonts w:ascii="Aptos" w:hAnsi="Aptos"/>
                <w:color w:val="000000" w:themeColor="text1"/>
              </w:rPr>
              <w:t>Enquiry response and mailbox management</w:t>
            </w:r>
            <w:r w:rsidR="00D944B3" w:rsidRPr="006D6475">
              <w:rPr>
                <w:rFonts w:ascii="Aptos" w:hAnsi="Aptos"/>
                <w:color w:val="000000" w:themeColor="text1"/>
              </w:rPr>
              <w:t xml:space="preserve"> </w:t>
            </w:r>
            <w:r w:rsidRPr="006D6475">
              <w:rPr>
                <w:rFonts w:ascii="Aptos" w:hAnsi="Aptos"/>
                <w:color w:val="000000" w:themeColor="text1"/>
              </w:rPr>
              <w:t>Case officer allocation.</w:t>
            </w:r>
          </w:p>
        </w:tc>
      </w:tr>
      <w:tr w:rsidR="000866E8" w:rsidRPr="00165D8C" w14:paraId="47917988" w14:textId="77777777" w:rsidTr="005314E1">
        <w:tc>
          <w:tcPr>
            <w:tcW w:w="2977" w:type="dxa"/>
            <w:tcBorders>
              <w:bottom w:val="single" w:sz="4" w:space="0" w:color="auto"/>
            </w:tcBorders>
            <w:shd w:val="clear" w:color="auto" w:fill="7A9F4C"/>
            <w:vAlign w:val="center"/>
          </w:tcPr>
          <w:p w14:paraId="253FDE13" w14:textId="26C002B3" w:rsidR="000866E8" w:rsidRPr="00A20C67" w:rsidRDefault="000866E8" w:rsidP="00582F0D">
            <w:pPr>
              <w:jc w:val="center"/>
              <w:rPr>
                <w:rFonts w:ascii="Aptos" w:hAnsi="Aptos"/>
                <w:b/>
                <w:bCs/>
                <w:color w:val="FFFFFF" w:themeColor="background1"/>
              </w:rPr>
            </w:pPr>
            <w:r w:rsidRPr="00165D8C">
              <w:rPr>
                <w:rFonts w:ascii="Aptos" w:hAnsi="Aptos"/>
                <w:b/>
                <w:bCs/>
                <w:color w:val="FFFFFF" w:themeColor="background1"/>
              </w:rPr>
              <w:t>Output 2: Assess</w:t>
            </w:r>
          </w:p>
        </w:tc>
        <w:tc>
          <w:tcPr>
            <w:tcW w:w="7655" w:type="dxa"/>
            <w:tcBorders>
              <w:bottom w:val="single" w:sz="4" w:space="0" w:color="auto"/>
            </w:tcBorders>
            <w:shd w:val="clear" w:color="auto" w:fill="D7D8D8"/>
          </w:tcPr>
          <w:p w14:paraId="2F345F13" w14:textId="77777777"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Identity and document verification</w:t>
            </w:r>
          </w:p>
          <w:p w14:paraId="073031C6" w14:textId="77777777"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Work experience or vocational placement experience verification</w:t>
            </w:r>
          </w:p>
          <w:p w14:paraId="5EF2328C" w14:textId="77777777"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Review skills progress reports and pay evidence</w:t>
            </w:r>
          </w:p>
          <w:p w14:paraId="0C8A18DA" w14:textId="77777777"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Knowledge and practical assessment</w:t>
            </w:r>
          </w:p>
          <w:p w14:paraId="28E81D91" w14:textId="77777777"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 xml:space="preserve">Qualifications verification review </w:t>
            </w:r>
          </w:p>
          <w:p w14:paraId="1E3738F9" w14:textId="6BC30A42"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Site visits</w:t>
            </w:r>
          </w:p>
        </w:tc>
      </w:tr>
      <w:tr w:rsidR="000866E8" w:rsidRPr="00165D8C" w14:paraId="3FA72C6A" w14:textId="77777777" w:rsidTr="005314E1">
        <w:tc>
          <w:tcPr>
            <w:tcW w:w="2977" w:type="dxa"/>
            <w:tcBorders>
              <w:bottom w:val="single" w:sz="4" w:space="0" w:color="auto"/>
            </w:tcBorders>
            <w:shd w:val="clear" w:color="auto" w:fill="7A9F4C"/>
            <w:vAlign w:val="center"/>
          </w:tcPr>
          <w:p w14:paraId="61BE74F5" w14:textId="727D3489" w:rsidR="000866E8" w:rsidRPr="00A20C67" w:rsidRDefault="000866E8" w:rsidP="00582F0D">
            <w:pPr>
              <w:jc w:val="center"/>
              <w:rPr>
                <w:rFonts w:ascii="Aptos" w:hAnsi="Aptos"/>
                <w:b/>
                <w:bCs/>
                <w:color w:val="FFFFFF" w:themeColor="background1"/>
              </w:rPr>
            </w:pPr>
            <w:r w:rsidRPr="000866E8">
              <w:rPr>
                <w:rFonts w:ascii="Aptos" w:hAnsi="Aptos"/>
                <w:b/>
                <w:bCs/>
                <w:color w:val="FFFFFF" w:themeColor="background1"/>
              </w:rPr>
              <w:t>Output 3: Decide</w:t>
            </w:r>
          </w:p>
        </w:tc>
        <w:tc>
          <w:tcPr>
            <w:tcW w:w="7655" w:type="dxa"/>
            <w:tcBorders>
              <w:bottom w:val="single" w:sz="4" w:space="0" w:color="auto"/>
            </w:tcBorders>
            <w:shd w:val="clear" w:color="auto" w:fill="D7D8D8"/>
          </w:tcPr>
          <w:p w14:paraId="48556082" w14:textId="77777777"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Quality assurance</w:t>
            </w:r>
          </w:p>
          <w:p w14:paraId="0E643512" w14:textId="77777777"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 xml:space="preserve">Compliance review and investigation </w:t>
            </w:r>
          </w:p>
          <w:p w14:paraId="6299C1A8" w14:textId="35549ED9"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Notification of outcome Finalise application</w:t>
            </w:r>
          </w:p>
        </w:tc>
      </w:tr>
      <w:tr w:rsidR="000866E8" w:rsidRPr="00165D8C" w14:paraId="503FB75C" w14:textId="77777777" w:rsidTr="005314E1">
        <w:tc>
          <w:tcPr>
            <w:tcW w:w="2977" w:type="dxa"/>
            <w:tcBorders>
              <w:bottom w:val="single" w:sz="4" w:space="0" w:color="auto"/>
            </w:tcBorders>
            <w:shd w:val="clear" w:color="auto" w:fill="7A9F4C"/>
            <w:vAlign w:val="center"/>
          </w:tcPr>
          <w:p w14:paraId="59AF3DE6" w14:textId="5124576E" w:rsidR="000866E8" w:rsidRPr="00A20C67" w:rsidRDefault="000866E8" w:rsidP="00582F0D">
            <w:pPr>
              <w:jc w:val="center"/>
              <w:rPr>
                <w:rFonts w:ascii="Aptos" w:hAnsi="Aptos"/>
                <w:b/>
                <w:bCs/>
                <w:color w:val="FFFFFF" w:themeColor="background1"/>
              </w:rPr>
            </w:pPr>
            <w:r w:rsidRPr="000866E8">
              <w:rPr>
                <w:rFonts w:ascii="Aptos" w:hAnsi="Aptos"/>
                <w:b/>
                <w:bCs/>
                <w:color w:val="FFFFFF" w:themeColor="background1"/>
              </w:rPr>
              <w:t>Output 4: Review</w:t>
            </w:r>
          </w:p>
        </w:tc>
        <w:tc>
          <w:tcPr>
            <w:tcW w:w="7655" w:type="dxa"/>
            <w:tcBorders>
              <w:bottom w:val="single" w:sz="4" w:space="0" w:color="auto"/>
            </w:tcBorders>
            <w:shd w:val="clear" w:color="auto" w:fill="D7D8D8"/>
          </w:tcPr>
          <w:p w14:paraId="32E68316" w14:textId="7A3B07BA" w:rsidR="000866E8" w:rsidRPr="00242B51" w:rsidRDefault="000866E8" w:rsidP="006D6475">
            <w:pPr>
              <w:numPr>
                <w:ilvl w:val="0"/>
                <w:numId w:val="8"/>
              </w:numPr>
              <w:tabs>
                <w:tab w:val="clear" w:pos="3325"/>
              </w:tabs>
              <w:spacing w:after="0"/>
              <w:ind w:left="714" w:hanging="357"/>
              <w:rPr>
                <w:rFonts w:ascii="Aptos" w:hAnsi="Aptos"/>
                <w:color w:val="000000" w:themeColor="text1"/>
              </w:rPr>
            </w:pPr>
            <w:r w:rsidRPr="00242B51">
              <w:rPr>
                <w:rFonts w:ascii="Aptos" w:hAnsi="Aptos"/>
                <w:color w:val="000000" w:themeColor="text1"/>
              </w:rPr>
              <w:t>Outcome management (Quality Assurance) Review of outcome decision</w:t>
            </w:r>
          </w:p>
        </w:tc>
      </w:tr>
    </w:tbl>
    <w:p w14:paraId="78091EC6" w14:textId="5576C083" w:rsidR="00AD18D4" w:rsidRPr="00A00766" w:rsidRDefault="00AD18D4" w:rsidP="008A3B46">
      <w:pPr>
        <w:pStyle w:val="Heading4"/>
        <w:rPr>
          <w:rFonts w:ascii="Aptos" w:hAnsi="Aptos"/>
          <w:color w:val="427A38"/>
        </w:rPr>
      </w:pPr>
      <w:bookmarkStart w:id="21" w:name="_Toc197608602"/>
      <w:bookmarkStart w:id="22" w:name="_Hlk109311401"/>
      <w:bookmarkEnd w:id="20"/>
      <w:r w:rsidRPr="00A00766">
        <w:rPr>
          <w:rFonts w:ascii="Aptos" w:hAnsi="Aptos"/>
          <w:b/>
          <w:bCs/>
          <w:color w:val="427A38"/>
        </w:rPr>
        <w:t>Figure 2</w:t>
      </w:r>
      <w:r w:rsidRPr="00A00766">
        <w:rPr>
          <w:rFonts w:ascii="Aptos" w:hAnsi="Aptos"/>
          <w:color w:val="427A38"/>
        </w:rPr>
        <w:t>. Activity 2 – program management and administration.</w:t>
      </w:r>
      <w:bookmarkEnd w:id="21"/>
    </w:p>
    <w:tbl>
      <w:tblPr>
        <w:tblStyle w:val="TableGrid"/>
        <w:tblW w:w="10632" w:type="dxa"/>
        <w:tblInd w:w="-714" w:type="dxa"/>
        <w:tblLook w:val="04A0" w:firstRow="1" w:lastRow="0" w:firstColumn="1" w:lastColumn="0" w:noHBand="0" w:noVBand="1"/>
      </w:tblPr>
      <w:tblGrid>
        <w:gridCol w:w="2977"/>
        <w:gridCol w:w="7655"/>
      </w:tblGrid>
      <w:tr w:rsidR="00B91E0A" w:rsidRPr="00165D8C" w14:paraId="0DD970BC" w14:textId="77777777" w:rsidTr="005314E1">
        <w:tc>
          <w:tcPr>
            <w:tcW w:w="2977" w:type="dxa"/>
            <w:tcBorders>
              <w:bottom w:val="single" w:sz="4" w:space="0" w:color="auto"/>
            </w:tcBorders>
            <w:shd w:val="clear" w:color="auto" w:fill="7A9F4C"/>
            <w:vAlign w:val="center"/>
          </w:tcPr>
          <w:p w14:paraId="09A94A57" w14:textId="15DA4C93" w:rsidR="00B91E0A" w:rsidRPr="004E5FD8" w:rsidRDefault="00E53D75" w:rsidP="000570F3">
            <w:pPr>
              <w:jc w:val="center"/>
              <w:rPr>
                <w:rFonts w:ascii="Aptos" w:hAnsi="Aptos"/>
                <w:b/>
                <w:bCs/>
                <w:color w:val="000000" w:themeColor="text1"/>
              </w:rPr>
            </w:pPr>
            <w:bookmarkStart w:id="23" w:name="_Hlk157686814"/>
            <w:r w:rsidRPr="004E5FD8">
              <w:rPr>
                <w:rFonts w:ascii="Aptos" w:hAnsi="Aptos"/>
                <w:b/>
                <w:bCs/>
                <w:color w:val="FFFFFF" w:themeColor="background1"/>
              </w:rPr>
              <w:t xml:space="preserve">Output 1: </w:t>
            </w:r>
            <w:r w:rsidR="00AE4802">
              <w:rPr>
                <w:rFonts w:ascii="Aptos" w:hAnsi="Aptos"/>
                <w:b/>
                <w:bCs/>
                <w:color w:val="FFFFFF" w:themeColor="background1"/>
              </w:rPr>
              <w:br/>
            </w:r>
            <w:r w:rsidRPr="004E5FD8">
              <w:rPr>
                <w:rFonts w:ascii="Aptos" w:hAnsi="Aptos"/>
                <w:b/>
                <w:bCs/>
                <w:color w:val="FFFFFF" w:themeColor="background1"/>
              </w:rPr>
              <w:t>Program administration</w:t>
            </w:r>
          </w:p>
        </w:tc>
        <w:tc>
          <w:tcPr>
            <w:tcW w:w="7655" w:type="dxa"/>
            <w:tcBorders>
              <w:bottom w:val="single" w:sz="4" w:space="0" w:color="auto"/>
            </w:tcBorders>
            <w:shd w:val="clear" w:color="auto" w:fill="D7D8D8"/>
          </w:tcPr>
          <w:p w14:paraId="295C31D9" w14:textId="77777777" w:rsidR="00E2527B" w:rsidRPr="004E5FD8" w:rsidRDefault="009564B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Enquiry line</w:t>
            </w:r>
          </w:p>
          <w:p w14:paraId="50F111D2" w14:textId="77777777" w:rsidR="00E2527B" w:rsidRPr="004E5FD8" w:rsidRDefault="009564B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RTO contract management</w:t>
            </w:r>
          </w:p>
          <w:p w14:paraId="4B4583C6" w14:textId="77777777" w:rsidR="00E2527B" w:rsidRPr="004E5FD8" w:rsidRDefault="009564B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Finance</w:t>
            </w:r>
            <w:r w:rsidR="00E53D75" w:rsidRPr="004E5FD8">
              <w:rPr>
                <w:rFonts w:ascii="Aptos" w:hAnsi="Aptos"/>
                <w:color w:val="000000" w:themeColor="text1"/>
              </w:rPr>
              <w:t xml:space="preserve"> – accounts management</w:t>
            </w:r>
          </w:p>
          <w:p w14:paraId="44DD1EA4" w14:textId="77777777" w:rsidR="00E2527B" w:rsidRPr="004E5FD8" w:rsidRDefault="009564B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Internal Reporting</w:t>
            </w:r>
            <w:r w:rsidR="00E53D75" w:rsidRPr="004E5FD8">
              <w:rPr>
                <w:rFonts w:ascii="Aptos" w:hAnsi="Aptos"/>
                <w:color w:val="000000" w:themeColor="text1"/>
              </w:rPr>
              <w:t xml:space="preserve"> and data management</w:t>
            </w:r>
          </w:p>
          <w:p w14:paraId="7DD81586" w14:textId="77777777" w:rsidR="00183447" w:rsidRPr="004E5FD8" w:rsidRDefault="009564B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Home Affairs liaison</w:t>
            </w:r>
          </w:p>
          <w:p w14:paraId="3A88EBD1" w14:textId="23A14B72" w:rsidR="00E53D75" w:rsidRPr="004E5FD8" w:rsidRDefault="009564B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Stakeholder engagement</w:t>
            </w:r>
            <w:r w:rsidR="00E53D75" w:rsidRPr="004E5FD8">
              <w:rPr>
                <w:rFonts w:ascii="Aptos" w:hAnsi="Aptos"/>
                <w:color w:val="000000" w:themeColor="text1"/>
              </w:rPr>
              <w:t xml:space="preserve"> – Participants, RTOs, and industry leaders</w:t>
            </w:r>
          </w:p>
          <w:p w14:paraId="31CB88AB" w14:textId="77777777" w:rsidR="00E53D75" w:rsidRPr="004E5FD8" w:rsidRDefault="00E53D7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Process review and statistical input</w:t>
            </w:r>
          </w:p>
          <w:p w14:paraId="6846D67E" w14:textId="77777777" w:rsidR="00E53D75" w:rsidRPr="004E5FD8" w:rsidRDefault="00E53D7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Request for tender (RFT)</w:t>
            </w:r>
          </w:p>
          <w:p w14:paraId="1117B915" w14:textId="77777777" w:rsidR="002E0183" w:rsidRPr="004E5FD8" w:rsidRDefault="00E53D7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Internal data coordination requests</w:t>
            </w:r>
          </w:p>
          <w:p w14:paraId="19C91DF4" w14:textId="77777777" w:rsidR="002E0183" w:rsidRPr="004E5FD8" w:rsidRDefault="00E53D75" w:rsidP="006D6475">
            <w:pPr>
              <w:numPr>
                <w:ilvl w:val="0"/>
                <w:numId w:val="8"/>
              </w:numPr>
              <w:tabs>
                <w:tab w:val="clear" w:pos="3325"/>
              </w:tabs>
              <w:spacing w:after="0"/>
              <w:ind w:left="714" w:hanging="357"/>
              <w:rPr>
                <w:rFonts w:ascii="Aptos" w:hAnsi="Aptos"/>
                <w:color w:val="000000" w:themeColor="text1"/>
              </w:rPr>
            </w:pPr>
            <w:r w:rsidRPr="004E5FD8">
              <w:rPr>
                <w:rFonts w:ascii="Aptos" w:hAnsi="Aptos"/>
                <w:color w:val="000000" w:themeColor="text1"/>
              </w:rPr>
              <w:t>Communications</w:t>
            </w:r>
          </w:p>
          <w:p w14:paraId="3E95A4A0" w14:textId="033FCA66" w:rsidR="00B91E0A" w:rsidRPr="004E5FD8" w:rsidRDefault="00E53D75" w:rsidP="006D6475">
            <w:pPr>
              <w:numPr>
                <w:ilvl w:val="0"/>
                <w:numId w:val="8"/>
              </w:numPr>
              <w:tabs>
                <w:tab w:val="clear" w:pos="3325"/>
              </w:tabs>
              <w:spacing w:after="0"/>
              <w:ind w:left="714" w:hanging="357"/>
              <w:rPr>
                <w:rFonts w:ascii="Aptos" w:hAnsi="Aptos"/>
                <w:b/>
                <w:bCs/>
                <w:color w:val="000000" w:themeColor="text1"/>
              </w:rPr>
            </w:pPr>
            <w:r w:rsidRPr="004E5FD8">
              <w:rPr>
                <w:rFonts w:ascii="Aptos" w:hAnsi="Aptos"/>
                <w:color w:val="000000" w:themeColor="text1"/>
              </w:rPr>
              <w:t>Demand forecast</w:t>
            </w:r>
            <w:r w:rsidR="003056FF" w:rsidRPr="004E5FD8">
              <w:rPr>
                <w:rFonts w:ascii="Aptos" w:hAnsi="Aptos"/>
                <w:color w:val="000000" w:themeColor="text1"/>
              </w:rPr>
              <w:t>s</w:t>
            </w:r>
            <w:r w:rsidRPr="004E5FD8">
              <w:rPr>
                <w:rFonts w:ascii="Aptos" w:hAnsi="Aptos"/>
                <w:color w:val="000000" w:themeColor="text1"/>
              </w:rPr>
              <w:t xml:space="preserve"> and financial modelling</w:t>
            </w:r>
          </w:p>
        </w:tc>
      </w:tr>
      <w:tr w:rsidR="004E5FD8" w:rsidRPr="00165D8C" w14:paraId="024C583C" w14:textId="77777777" w:rsidTr="005314E1">
        <w:tc>
          <w:tcPr>
            <w:tcW w:w="2977" w:type="dxa"/>
            <w:tcBorders>
              <w:bottom w:val="single" w:sz="4" w:space="0" w:color="auto"/>
            </w:tcBorders>
            <w:shd w:val="clear" w:color="auto" w:fill="7A9F4C"/>
            <w:vAlign w:val="center"/>
          </w:tcPr>
          <w:p w14:paraId="65711B96" w14:textId="72B85347" w:rsidR="004E5FD8" w:rsidRPr="004E5FD8" w:rsidRDefault="004E5FD8" w:rsidP="004E5FD8">
            <w:pPr>
              <w:jc w:val="center"/>
              <w:rPr>
                <w:rFonts w:ascii="Aptos" w:hAnsi="Aptos"/>
                <w:b/>
                <w:bCs/>
                <w:color w:val="FFFFFF" w:themeColor="background1"/>
              </w:rPr>
            </w:pPr>
            <w:r w:rsidRPr="00F66426">
              <w:rPr>
                <w:rFonts w:ascii="Aptos" w:hAnsi="Aptos"/>
                <w:b/>
                <w:bCs/>
                <w:color w:val="FFFFFF" w:themeColor="background1"/>
              </w:rPr>
              <w:t xml:space="preserve">Output 2: </w:t>
            </w:r>
            <w:r w:rsidR="00AE4802">
              <w:rPr>
                <w:rFonts w:ascii="Aptos" w:hAnsi="Aptos"/>
                <w:b/>
                <w:bCs/>
                <w:color w:val="FFFFFF" w:themeColor="background1"/>
              </w:rPr>
              <w:br/>
            </w:r>
            <w:r w:rsidRPr="00F66426">
              <w:rPr>
                <w:rFonts w:ascii="Aptos" w:hAnsi="Aptos"/>
                <w:b/>
                <w:bCs/>
                <w:color w:val="FFFFFF" w:themeColor="background1"/>
              </w:rPr>
              <w:t>IT support and maintenance</w:t>
            </w:r>
          </w:p>
        </w:tc>
        <w:tc>
          <w:tcPr>
            <w:tcW w:w="7655" w:type="dxa"/>
            <w:tcBorders>
              <w:bottom w:val="single" w:sz="4" w:space="0" w:color="auto"/>
            </w:tcBorders>
            <w:shd w:val="clear" w:color="auto" w:fill="D7D8D8"/>
          </w:tcPr>
          <w:p w14:paraId="0E71964E"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Web publishing</w:t>
            </w:r>
          </w:p>
          <w:p w14:paraId="369FD4ED"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IT system maintenance</w:t>
            </w:r>
          </w:p>
          <w:p w14:paraId="2CB8507B"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Technical coordination</w:t>
            </w:r>
          </w:p>
          <w:p w14:paraId="3F3C2B0D" w14:textId="35F443FE" w:rsidR="004E5FD8" w:rsidRPr="004E5FD8"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Password resets</w:t>
            </w:r>
          </w:p>
        </w:tc>
      </w:tr>
      <w:tr w:rsidR="004E5FD8" w:rsidRPr="00165D8C" w14:paraId="7F4358CA" w14:textId="77777777" w:rsidTr="005314E1">
        <w:tc>
          <w:tcPr>
            <w:tcW w:w="2977" w:type="dxa"/>
            <w:tcBorders>
              <w:bottom w:val="single" w:sz="4" w:space="0" w:color="auto"/>
            </w:tcBorders>
            <w:shd w:val="clear" w:color="auto" w:fill="7A9F4C"/>
            <w:vAlign w:val="center"/>
          </w:tcPr>
          <w:p w14:paraId="7B8F65F1" w14:textId="7FC55E16" w:rsidR="004E5FD8" w:rsidRPr="004E5FD8" w:rsidRDefault="004E5FD8" w:rsidP="004E5FD8">
            <w:pPr>
              <w:jc w:val="center"/>
              <w:rPr>
                <w:rFonts w:ascii="Aptos" w:hAnsi="Aptos"/>
                <w:b/>
                <w:bCs/>
                <w:color w:val="FFFFFF" w:themeColor="background1"/>
              </w:rPr>
            </w:pPr>
            <w:r w:rsidRPr="00F66426">
              <w:rPr>
                <w:rFonts w:ascii="Aptos" w:hAnsi="Aptos"/>
                <w:b/>
                <w:bCs/>
                <w:color w:val="FFFFFF" w:themeColor="background1"/>
              </w:rPr>
              <w:t>Output 3: Compliance and audit</w:t>
            </w:r>
          </w:p>
        </w:tc>
        <w:tc>
          <w:tcPr>
            <w:tcW w:w="7655" w:type="dxa"/>
            <w:tcBorders>
              <w:bottom w:val="single" w:sz="4" w:space="0" w:color="auto"/>
            </w:tcBorders>
            <w:shd w:val="clear" w:color="auto" w:fill="D7D8D8"/>
          </w:tcPr>
          <w:p w14:paraId="51B75BCA"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Quality assurance</w:t>
            </w:r>
          </w:p>
          <w:p w14:paraId="02494082"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 xml:space="preserve">Program fraud and integrity </w:t>
            </w:r>
          </w:p>
          <w:p w14:paraId="4F3C72D3"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 xml:space="preserve">Program risk management </w:t>
            </w:r>
          </w:p>
          <w:p w14:paraId="5D0DD9F3"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Financial audits</w:t>
            </w:r>
          </w:p>
          <w:p w14:paraId="776F3330"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RTO compliance</w:t>
            </w:r>
          </w:p>
          <w:p w14:paraId="4746B966" w14:textId="000BB892" w:rsidR="004E5FD8" w:rsidRPr="004E5FD8"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RTO reporting</w:t>
            </w:r>
          </w:p>
        </w:tc>
      </w:tr>
      <w:tr w:rsidR="004E5FD8" w:rsidRPr="00165D8C" w14:paraId="105DB7C3" w14:textId="77777777" w:rsidTr="005314E1">
        <w:tc>
          <w:tcPr>
            <w:tcW w:w="2977" w:type="dxa"/>
            <w:tcBorders>
              <w:bottom w:val="single" w:sz="4" w:space="0" w:color="auto"/>
            </w:tcBorders>
            <w:shd w:val="clear" w:color="auto" w:fill="7A9F4C"/>
            <w:vAlign w:val="center"/>
          </w:tcPr>
          <w:p w14:paraId="2A7B181B" w14:textId="245FCD9F" w:rsidR="004E5FD8" w:rsidRPr="004E5FD8" w:rsidRDefault="004E5FD8" w:rsidP="004E5FD8">
            <w:pPr>
              <w:jc w:val="center"/>
              <w:rPr>
                <w:rFonts w:ascii="Aptos" w:hAnsi="Aptos"/>
                <w:b/>
                <w:bCs/>
                <w:color w:val="FFFFFF" w:themeColor="background1"/>
              </w:rPr>
            </w:pPr>
            <w:r w:rsidRPr="004E5FD8">
              <w:rPr>
                <w:rFonts w:ascii="Aptos" w:hAnsi="Aptos"/>
                <w:b/>
                <w:bCs/>
                <w:color w:val="FFFFFF" w:themeColor="background1"/>
              </w:rPr>
              <w:t xml:space="preserve">Output 4: </w:t>
            </w:r>
            <w:r w:rsidR="00AE4802">
              <w:rPr>
                <w:rFonts w:ascii="Aptos" w:hAnsi="Aptos"/>
                <w:b/>
                <w:bCs/>
                <w:color w:val="FFFFFF" w:themeColor="background1"/>
              </w:rPr>
              <w:br/>
            </w:r>
            <w:r w:rsidRPr="004E5FD8">
              <w:rPr>
                <w:rFonts w:ascii="Aptos" w:hAnsi="Aptos"/>
                <w:b/>
                <w:bCs/>
                <w:color w:val="FFFFFF" w:themeColor="background1"/>
              </w:rPr>
              <w:t>Program Policy</w:t>
            </w:r>
          </w:p>
        </w:tc>
        <w:tc>
          <w:tcPr>
            <w:tcW w:w="7655" w:type="dxa"/>
            <w:tcBorders>
              <w:bottom w:val="single" w:sz="4" w:space="0" w:color="auto"/>
            </w:tcBorders>
            <w:shd w:val="clear" w:color="auto" w:fill="D7D8D8"/>
          </w:tcPr>
          <w:p w14:paraId="6A327234"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Policy governance</w:t>
            </w:r>
          </w:p>
          <w:p w14:paraId="2C541C25"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Updates to program guidelines</w:t>
            </w:r>
          </w:p>
          <w:p w14:paraId="31C87675"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Coordination requests</w:t>
            </w:r>
          </w:p>
          <w:p w14:paraId="72753720" w14:textId="77777777" w:rsidR="004E5FD8" w:rsidRPr="006D6475"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Policy changes</w:t>
            </w:r>
          </w:p>
          <w:p w14:paraId="4F587A6E" w14:textId="15D0B18D" w:rsidR="004E5FD8" w:rsidRPr="004E5FD8" w:rsidRDefault="004E5FD8" w:rsidP="006D6475">
            <w:pPr>
              <w:numPr>
                <w:ilvl w:val="0"/>
                <w:numId w:val="8"/>
              </w:numPr>
              <w:tabs>
                <w:tab w:val="clear" w:pos="3325"/>
              </w:tabs>
              <w:spacing w:after="0"/>
              <w:ind w:left="714" w:hanging="357"/>
              <w:rPr>
                <w:rFonts w:ascii="Aptos" w:hAnsi="Aptos"/>
                <w:color w:val="000000" w:themeColor="text1"/>
              </w:rPr>
            </w:pPr>
            <w:r w:rsidRPr="006D6475">
              <w:rPr>
                <w:rFonts w:ascii="Aptos" w:hAnsi="Aptos"/>
                <w:color w:val="000000" w:themeColor="text1"/>
              </w:rPr>
              <w:t>Legal matters</w:t>
            </w:r>
          </w:p>
        </w:tc>
      </w:tr>
      <w:bookmarkEnd w:id="23"/>
    </w:tbl>
    <w:p w14:paraId="7AF23E4A" w14:textId="77777777" w:rsidR="00295E66" w:rsidRPr="00165D8C" w:rsidRDefault="00295E66" w:rsidP="000570F3">
      <w:pPr>
        <w:rPr>
          <w:rFonts w:ascii="Aptos" w:hAnsi="Aptos"/>
        </w:rPr>
      </w:pPr>
    </w:p>
    <w:p w14:paraId="15AEF9CA" w14:textId="789C78C7" w:rsidR="00AD18D4" w:rsidRPr="00E62AE0" w:rsidRDefault="00AD18D4" w:rsidP="00E62AE0">
      <w:pPr>
        <w:pStyle w:val="Heading2"/>
        <w:rPr>
          <w:color w:val="5D7A38"/>
        </w:rPr>
      </w:pPr>
      <w:bookmarkStart w:id="24" w:name="_Toc197608603"/>
      <w:bookmarkEnd w:id="22"/>
      <w:r w:rsidRPr="00E62AE0">
        <w:rPr>
          <w:color w:val="5D7A38"/>
        </w:rPr>
        <w:t>3.2</w:t>
      </w:r>
      <w:r w:rsidR="00122B51" w:rsidRPr="00E62AE0">
        <w:rPr>
          <w:color w:val="5D7A38"/>
        </w:rPr>
        <w:t>.</w:t>
      </w:r>
      <w:r w:rsidRPr="00E62AE0">
        <w:rPr>
          <w:color w:val="5D7A38"/>
        </w:rPr>
        <w:t xml:space="preserve"> Costs of the regulatory charging activity</w:t>
      </w:r>
      <w:bookmarkEnd w:id="24"/>
    </w:p>
    <w:p w14:paraId="74B17A4B" w14:textId="68110D0B" w:rsidR="00AD18D4" w:rsidRPr="00165D8C" w:rsidRDefault="00AD18D4" w:rsidP="0028250C">
      <w:pPr>
        <w:rPr>
          <w:rFonts w:ascii="Aptos" w:hAnsi="Aptos"/>
        </w:rPr>
      </w:pPr>
      <w:r w:rsidRPr="00165D8C">
        <w:rPr>
          <w:rFonts w:ascii="Aptos" w:hAnsi="Aptos"/>
        </w:rPr>
        <w:t xml:space="preserve">The </w:t>
      </w:r>
      <w:r w:rsidRPr="00165D8C">
        <w:rPr>
          <w:rFonts w:ascii="Aptos" w:hAnsi="Aptos"/>
          <w:b/>
          <w:bCs/>
        </w:rPr>
        <w:t>cost driver</w:t>
      </w:r>
      <w:r w:rsidRPr="00165D8C">
        <w:rPr>
          <w:rFonts w:ascii="Aptos" w:hAnsi="Aptos"/>
        </w:rPr>
        <w:t xml:space="preserve"> is the number of applications registered for each of the </w:t>
      </w:r>
      <w:r w:rsidR="00497B58">
        <w:rPr>
          <w:rFonts w:ascii="Aptos" w:hAnsi="Aptos"/>
        </w:rPr>
        <w:t>six</w:t>
      </w:r>
      <w:r w:rsidRPr="00165D8C">
        <w:rPr>
          <w:rFonts w:ascii="Aptos" w:hAnsi="Aptos"/>
        </w:rPr>
        <w:t xml:space="preserve"> different assessment pathways.</w:t>
      </w:r>
    </w:p>
    <w:p w14:paraId="57AD8D20" w14:textId="77777777" w:rsidR="00AD18D4" w:rsidRDefault="00AD18D4" w:rsidP="0028250C">
      <w:pPr>
        <w:rPr>
          <w:rFonts w:ascii="Aptos" w:hAnsi="Aptos"/>
        </w:rPr>
      </w:pPr>
      <w:r w:rsidRPr="00165D8C">
        <w:rPr>
          <w:rFonts w:ascii="Aptos" w:hAnsi="Aptos"/>
        </w:rPr>
        <w:lastRenderedPageBreak/>
        <w:t>The cost to conduct a skills assessment has been determined according to the following methodology:</w:t>
      </w:r>
    </w:p>
    <w:p w14:paraId="1BBAED2A" w14:textId="77777777" w:rsidR="008D600B" w:rsidRDefault="00AD18D4" w:rsidP="008D600B">
      <w:pPr>
        <w:pStyle w:val="ListParagraph"/>
        <w:numPr>
          <w:ilvl w:val="0"/>
          <w:numId w:val="18"/>
        </w:numPr>
        <w:rPr>
          <w:rFonts w:ascii="Aptos" w:hAnsi="Aptos"/>
        </w:rPr>
      </w:pPr>
      <w:r w:rsidRPr="008D600B">
        <w:rPr>
          <w:rFonts w:ascii="Aptos" w:hAnsi="Aptos"/>
        </w:rPr>
        <w:t>Identifying the business processes that comprise a skills assessment for each applicant/</w:t>
      </w:r>
      <w:r w:rsidR="00D7291C" w:rsidRPr="008D600B">
        <w:rPr>
          <w:rFonts w:ascii="Aptos" w:hAnsi="Aptos"/>
        </w:rPr>
        <w:t>participant.</w:t>
      </w:r>
    </w:p>
    <w:p w14:paraId="728BA792" w14:textId="77777777" w:rsidR="008D600B" w:rsidRDefault="00AD18D4" w:rsidP="008D600B">
      <w:pPr>
        <w:pStyle w:val="ListParagraph"/>
        <w:numPr>
          <w:ilvl w:val="0"/>
          <w:numId w:val="18"/>
        </w:numPr>
        <w:rPr>
          <w:rFonts w:ascii="Aptos" w:hAnsi="Aptos"/>
        </w:rPr>
      </w:pPr>
      <w:r w:rsidRPr="008D600B">
        <w:rPr>
          <w:rFonts w:ascii="Aptos" w:hAnsi="Aptos"/>
        </w:rPr>
        <w:t xml:space="preserve">Estimating the effort (time) and skill level required to complete each </w:t>
      </w:r>
      <w:r w:rsidR="00D7291C" w:rsidRPr="008D600B">
        <w:rPr>
          <w:rFonts w:ascii="Aptos" w:hAnsi="Aptos"/>
        </w:rPr>
        <w:t>activity.</w:t>
      </w:r>
    </w:p>
    <w:p w14:paraId="2184BDE4" w14:textId="77777777" w:rsidR="008D600B" w:rsidRDefault="00AD18D4" w:rsidP="008D600B">
      <w:pPr>
        <w:pStyle w:val="ListParagraph"/>
        <w:numPr>
          <w:ilvl w:val="0"/>
          <w:numId w:val="18"/>
        </w:numPr>
        <w:rPr>
          <w:rFonts w:ascii="Aptos" w:hAnsi="Aptos"/>
        </w:rPr>
      </w:pPr>
      <w:r w:rsidRPr="008D600B">
        <w:rPr>
          <w:rFonts w:ascii="Aptos" w:hAnsi="Aptos"/>
        </w:rPr>
        <w:t xml:space="preserve">Identifying whether these costs are direct, indirect or capital </w:t>
      </w:r>
      <w:r w:rsidR="00D7291C" w:rsidRPr="008D600B">
        <w:rPr>
          <w:rFonts w:ascii="Aptos" w:hAnsi="Aptos"/>
        </w:rPr>
        <w:t>related.</w:t>
      </w:r>
    </w:p>
    <w:p w14:paraId="028BAE75" w14:textId="77777777" w:rsidR="008D600B" w:rsidRDefault="00AD18D4" w:rsidP="008D600B">
      <w:pPr>
        <w:pStyle w:val="ListParagraph"/>
        <w:numPr>
          <w:ilvl w:val="0"/>
          <w:numId w:val="18"/>
        </w:numPr>
        <w:rPr>
          <w:rFonts w:ascii="Aptos" w:hAnsi="Aptos"/>
        </w:rPr>
      </w:pPr>
      <w:r w:rsidRPr="008D600B">
        <w:rPr>
          <w:rFonts w:ascii="Aptos" w:hAnsi="Aptos"/>
        </w:rPr>
        <w:t>Determining the annual cost of assessing each type of application</w:t>
      </w:r>
    </w:p>
    <w:p w14:paraId="437245AB" w14:textId="77777777" w:rsidR="008D600B" w:rsidRDefault="00AD18D4" w:rsidP="008D600B">
      <w:pPr>
        <w:pStyle w:val="ListParagraph"/>
        <w:numPr>
          <w:ilvl w:val="0"/>
          <w:numId w:val="18"/>
        </w:numPr>
        <w:rPr>
          <w:rFonts w:ascii="Aptos" w:hAnsi="Aptos"/>
        </w:rPr>
      </w:pPr>
      <w:r w:rsidRPr="008D600B">
        <w:rPr>
          <w:rFonts w:ascii="Aptos" w:hAnsi="Aptos"/>
        </w:rPr>
        <w:t xml:space="preserve">Multiplying the full cost of assessing each application by the demand gives the full cost </w:t>
      </w:r>
      <w:r w:rsidR="00D7291C" w:rsidRPr="008D600B">
        <w:rPr>
          <w:rFonts w:ascii="Aptos" w:hAnsi="Aptos"/>
        </w:rPr>
        <w:t>price.</w:t>
      </w:r>
    </w:p>
    <w:p w14:paraId="038F35B1" w14:textId="0F582439" w:rsidR="00AD18D4" w:rsidRPr="008D600B" w:rsidRDefault="00AD18D4" w:rsidP="008D600B">
      <w:pPr>
        <w:pStyle w:val="ListParagraph"/>
        <w:numPr>
          <w:ilvl w:val="0"/>
          <w:numId w:val="18"/>
        </w:numPr>
        <w:rPr>
          <w:rFonts w:ascii="Aptos" w:hAnsi="Aptos"/>
        </w:rPr>
      </w:pPr>
      <w:r w:rsidRPr="008D600B">
        <w:rPr>
          <w:rFonts w:ascii="Aptos" w:hAnsi="Aptos"/>
        </w:rPr>
        <w:t>Determining the fee by averaging the total cost price for the business cycle and rounding this to the nearest $5.00.</w:t>
      </w:r>
    </w:p>
    <w:p w14:paraId="280B7E60" w14:textId="5BFFFFD3" w:rsidR="00AD18D4" w:rsidRPr="00165D8C" w:rsidRDefault="00AD18D4" w:rsidP="0028250C">
      <w:pPr>
        <w:rPr>
          <w:rFonts w:ascii="Aptos" w:hAnsi="Aptos"/>
        </w:rPr>
      </w:pPr>
      <w:r w:rsidRPr="00165D8C">
        <w:rPr>
          <w:rFonts w:ascii="Aptos" w:hAnsi="Aptos"/>
          <w:b/>
          <w:bCs/>
        </w:rPr>
        <w:t xml:space="preserve">Table </w:t>
      </w:r>
      <w:r w:rsidR="008150A0" w:rsidRPr="00165D8C">
        <w:rPr>
          <w:rFonts w:ascii="Aptos" w:hAnsi="Aptos"/>
          <w:b/>
          <w:bCs/>
        </w:rPr>
        <w:t>2</w:t>
      </w:r>
      <w:r w:rsidRPr="00165D8C">
        <w:rPr>
          <w:rFonts w:ascii="Aptos" w:hAnsi="Aptos"/>
        </w:rPr>
        <w:t xml:space="preserve"> below states the costs of regulatory activities for </w:t>
      </w:r>
      <w:r w:rsidR="007D2FA8" w:rsidRPr="00165D8C">
        <w:rPr>
          <w:rFonts w:ascii="Aptos" w:hAnsi="Aptos"/>
        </w:rPr>
        <w:t>Trades Recognition Australia</w:t>
      </w:r>
      <w:r w:rsidR="007D2FA8" w:rsidRPr="00165D8C" w:rsidDel="007D2FA8">
        <w:rPr>
          <w:rFonts w:ascii="Aptos" w:hAnsi="Aptos"/>
        </w:rPr>
        <w:t xml:space="preserve"> </w:t>
      </w:r>
      <w:r w:rsidRPr="00165D8C">
        <w:rPr>
          <w:rFonts w:ascii="Aptos" w:hAnsi="Aptos"/>
        </w:rPr>
        <w:t xml:space="preserve">and have been derived using the costs incurred by </w:t>
      </w:r>
      <w:r w:rsidR="007D2FA8" w:rsidRPr="00165D8C">
        <w:rPr>
          <w:rFonts w:ascii="Aptos" w:hAnsi="Aptos"/>
        </w:rPr>
        <w:t>Trades Recognition Australia</w:t>
      </w:r>
      <w:r w:rsidR="007D2FA8" w:rsidRPr="00165D8C" w:rsidDel="007D2FA8">
        <w:rPr>
          <w:rFonts w:ascii="Aptos" w:hAnsi="Aptos"/>
        </w:rPr>
        <w:t xml:space="preserve"> </w:t>
      </w:r>
      <w:r w:rsidRPr="00165D8C">
        <w:rPr>
          <w:rFonts w:ascii="Aptos" w:hAnsi="Aptos"/>
        </w:rPr>
        <w:t>to deliver each of the assessment pathways</w:t>
      </w:r>
      <w:r w:rsidR="00C84216" w:rsidRPr="00165D8C">
        <w:rPr>
          <w:rFonts w:ascii="Aptos" w:hAnsi="Aptos"/>
        </w:rPr>
        <w:t xml:space="preserve"> for 20</w:t>
      </w:r>
      <w:r w:rsidR="00197BF0" w:rsidRPr="00165D8C">
        <w:rPr>
          <w:rFonts w:ascii="Aptos" w:hAnsi="Aptos"/>
        </w:rPr>
        <w:t>2</w:t>
      </w:r>
      <w:r w:rsidR="00347EDD">
        <w:rPr>
          <w:rFonts w:ascii="Aptos" w:hAnsi="Aptos"/>
        </w:rPr>
        <w:t>5</w:t>
      </w:r>
      <w:r w:rsidR="00197BF0" w:rsidRPr="00165D8C">
        <w:rPr>
          <w:rFonts w:ascii="Aptos" w:hAnsi="Aptos"/>
        </w:rPr>
        <w:t>-2</w:t>
      </w:r>
      <w:r w:rsidR="00347EDD">
        <w:rPr>
          <w:rFonts w:ascii="Aptos" w:hAnsi="Aptos"/>
        </w:rPr>
        <w:t>6</w:t>
      </w:r>
      <w:r w:rsidRPr="00165D8C">
        <w:rPr>
          <w:rFonts w:ascii="Aptos" w:hAnsi="Aptos"/>
        </w:rPr>
        <w:t>.</w:t>
      </w:r>
    </w:p>
    <w:p w14:paraId="4EAD6C99" w14:textId="77777777" w:rsidR="003F1FD1" w:rsidRDefault="00AD18D4" w:rsidP="003F1FD1">
      <w:pPr>
        <w:rPr>
          <w:rFonts w:ascii="Aptos" w:hAnsi="Aptos"/>
        </w:rPr>
      </w:pPr>
      <w:r w:rsidRPr="00165D8C">
        <w:rPr>
          <w:rFonts w:ascii="Aptos" w:hAnsi="Aptos"/>
        </w:rPr>
        <w:t xml:space="preserve">The costs incurred in the delivery of </w:t>
      </w:r>
      <w:r w:rsidR="007D2FA8" w:rsidRPr="00165D8C">
        <w:rPr>
          <w:rFonts w:ascii="Aptos" w:hAnsi="Aptos"/>
        </w:rPr>
        <w:t>Trades Recognition Australia</w:t>
      </w:r>
      <w:r w:rsidR="007D2FA8" w:rsidRPr="00165D8C" w:rsidDel="007D2FA8">
        <w:rPr>
          <w:rFonts w:ascii="Aptos" w:hAnsi="Aptos"/>
        </w:rPr>
        <w:t xml:space="preserve"> </w:t>
      </w:r>
      <w:r w:rsidRPr="00165D8C">
        <w:rPr>
          <w:rFonts w:ascii="Aptos" w:hAnsi="Aptos"/>
        </w:rPr>
        <w:t xml:space="preserve">include: </w:t>
      </w:r>
    </w:p>
    <w:p w14:paraId="1C9294B8" w14:textId="77777777" w:rsidR="00EC5D67" w:rsidRPr="00EC5D67" w:rsidRDefault="009B32A9" w:rsidP="00EC5D67">
      <w:pPr>
        <w:pStyle w:val="ListParagraph"/>
        <w:numPr>
          <w:ilvl w:val="0"/>
          <w:numId w:val="8"/>
        </w:numPr>
        <w:rPr>
          <w:rStyle w:val="eop"/>
          <w:rFonts w:ascii="Aptos" w:hAnsi="Aptos" w:cstheme="minorBidi"/>
        </w:rPr>
      </w:pPr>
      <w:r w:rsidRPr="003F1FD1">
        <w:rPr>
          <w:rStyle w:val="normaltextrun"/>
          <w:rFonts w:ascii="Aptos" w:hAnsi="Aptos"/>
          <w:b/>
          <w:bCs/>
        </w:rPr>
        <w:t>Direct</w:t>
      </w:r>
      <w:r w:rsidRPr="003F1FD1">
        <w:rPr>
          <w:rStyle w:val="normaltextrun"/>
          <w:rFonts w:ascii="Aptos" w:hAnsi="Aptos"/>
        </w:rPr>
        <w:t xml:space="preserve"> costs are expenses attributable to the effort involved in undertaking business processes directly linked to each individual applicant’s Trades Recognition Australia skills assessment, including salaries and departmental on costs - these have been calculated using the Department’s costing template </w:t>
      </w:r>
      <w:r w:rsidRPr="003F1FD1">
        <w:rPr>
          <w:rStyle w:val="eop"/>
          <w:rFonts w:ascii="Aptos" w:hAnsi="Aptos"/>
        </w:rPr>
        <w:t> </w:t>
      </w:r>
    </w:p>
    <w:p w14:paraId="6B0F47B0" w14:textId="77777777" w:rsidR="006D6475" w:rsidRPr="006D6475" w:rsidRDefault="009B32A9" w:rsidP="006D6475">
      <w:pPr>
        <w:pStyle w:val="ListParagraph"/>
        <w:numPr>
          <w:ilvl w:val="0"/>
          <w:numId w:val="8"/>
        </w:numPr>
        <w:rPr>
          <w:rStyle w:val="eop"/>
          <w:rFonts w:ascii="Aptos" w:hAnsi="Aptos" w:cstheme="minorBidi"/>
        </w:rPr>
      </w:pPr>
      <w:r w:rsidRPr="00EC5D67">
        <w:rPr>
          <w:rStyle w:val="normaltextrun"/>
          <w:rFonts w:ascii="Aptos" w:hAnsi="Aptos"/>
          <w:b/>
          <w:bCs/>
        </w:rPr>
        <w:t>Indirect</w:t>
      </w:r>
      <w:r w:rsidRPr="00EC5D67">
        <w:rPr>
          <w:rStyle w:val="normaltextrun"/>
          <w:rFonts w:ascii="Aptos" w:hAnsi="Aptos"/>
        </w:rPr>
        <w:t xml:space="preserve"> costs are expenses related to IT support and maintenance and general program management and administration including financial support, contract management, responding to enquires, program risk and compliance settings and quality assurance processes </w:t>
      </w:r>
      <w:r w:rsidRPr="00EC5D67">
        <w:rPr>
          <w:rStyle w:val="eop"/>
          <w:rFonts w:ascii="Aptos" w:hAnsi="Aptos"/>
        </w:rPr>
        <w:t> </w:t>
      </w:r>
    </w:p>
    <w:p w14:paraId="55552AF4" w14:textId="671D533D" w:rsidR="009B32A9" w:rsidRPr="006D6475" w:rsidRDefault="009B32A9" w:rsidP="006D6475">
      <w:pPr>
        <w:pStyle w:val="ListParagraph"/>
        <w:numPr>
          <w:ilvl w:val="0"/>
          <w:numId w:val="8"/>
        </w:numPr>
        <w:rPr>
          <w:rStyle w:val="eop"/>
          <w:rFonts w:ascii="Aptos" w:hAnsi="Aptos" w:cstheme="minorBidi"/>
        </w:rPr>
      </w:pPr>
      <w:r w:rsidRPr="006D6475">
        <w:rPr>
          <w:rStyle w:val="normaltextrun"/>
          <w:rFonts w:ascii="Aptos" w:hAnsi="Aptos"/>
          <w:b/>
          <w:bCs/>
        </w:rPr>
        <w:t>Capital</w:t>
      </w:r>
      <w:r w:rsidRPr="006D6475">
        <w:rPr>
          <w:rStyle w:val="normaltextrun"/>
          <w:rFonts w:ascii="Aptos" w:hAnsi="Aptos"/>
        </w:rPr>
        <w:t xml:space="preserve"> related costs have not been incurred through this program. </w:t>
      </w:r>
      <w:r w:rsidRPr="006D6475">
        <w:rPr>
          <w:rStyle w:val="eop"/>
          <w:rFonts w:ascii="Aptos" w:hAnsi="Aptos"/>
        </w:rPr>
        <w:t> </w:t>
      </w:r>
    </w:p>
    <w:p w14:paraId="773351E0" w14:textId="77777777" w:rsidR="009B32A9" w:rsidRPr="00165D8C" w:rsidRDefault="009B32A9" w:rsidP="009B32A9">
      <w:pPr>
        <w:pStyle w:val="paragraph"/>
        <w:spacing w:before="0" w:beforeAutospacing="0" w:after="0" w:afterAutospacing="0"/>
        <w:ind w:left="1080"/>
        <w:textAlignment w:val="baseline"/>
        <w:rPr>
          <w:rFonts w:ascii="Aptos" w:hAnsi="Aptos" w:cs="Calibri"/>
          <w:sz w:val="22"/>
          <w:szCs w:val="22"/>
        </w:rPr>
      </w:pPr>
    </w:p>
    <w:p w14:paraId="6B954EBE" w14:textId="75A34D37" w:rsidR="00AD18D4" w:rsidRPr="00165D8C" w:rsidRDefault="00AD18D4" w:rsidP="0028250C">
      <w:pPr>
        <w:rPr>
          <w:rFonts w:ascii="Aptos" w:hAnsi="Aptos"/>
        </w:rPr>
      </w:pPr>
      <w:r w:rsidRPr="00165D8C">
        <w:rPr>
          <w:rFonts w:ascii="Aptos" w:hAnsi="Aptos"/>
        </w:rPr>
        <w:t xml:space="preserve">The regulatory charging activities will be </w:t>
      </w:r>
      <w:r w:rsidR="00A42762" w:rsidRPr="00165D8C">
        <w:rPr>
          <w:rFonts w:ascii="Aptos" w:hAnsi="Aptos"/>
        </w:rPr>
        <w:t xml:space="preserve">internally </w:t>
      </w:r>
      <w:r w:rsidRPr="00165D8C">
        <w:rPr>
          <w:rFonts w:ascii="Aptos" w:hAnsi="Aptos"/>
        </w:rPr>
        <w:t>reviewed on a</w:t>
      </w:r>
      <w:r w:rsidR="00A42762" w:rsidRPr="00165D8C">
        <w:rPr>
          <w:rFonts w:ascii="Aptos" w:hAnsi="Aptos"/>
        </w:rPr>
        <w:t xml:space="preserve">n annual </w:t>
      </w:r>
      <w:r w:rsidRPr="00165D8C">
        <w:rPr>
          <w:rFonts w:ascii="Aptos" w:hAnsi="Aptos"/>
        </w:rPr>
        <w:t>basis</w:t>
      </w:r>
      <w:r w:rsidR="00A42762" w:rsidRPr="00165D8C">
        <w:rPr>
          <w:rFonts w:ascii="Aptos" w:hAnsi="Aptos"/>
        </w:rPr>
        <w:t xml:space="preserve"> to ensure anticipated demand and revenue is within </w:t>
      </w:r>
      <w:r w:rsidR="003E6E5F">
        <w:rPr>
          <w:rFonts w:ascii="Aptos" w:hAnsi="Aptos"/>
        </w:rPr>
        <w:t>acceptable thresholds</w:t>
      </w:r>
      <w:r w:rsidR="00AD28E8" w:rsidRPr="00165D8C">
        <w:rPr>
          <w:rFonts w:ascii="Aptos" w:hAnsi="Aptos"/>
        </w:rPr>
        <w:t>, with a formal published biennial review of the cost recovery model and charging risk assessments commencing in 202</w:t>
      </w:r>
      <w:r w:rsidR="00397C30">
        <w:rPr>
          <w:rFonts w:ascii="Aptos" w:hAnsi="Aptos"/>
        </w:rPr>
        <w:t>5</w:t>
      </w:r>
      <w:r w:rsidR="00AD28E8" w:rsidRPr="00165D8C">
        <w:rPr>
          <w:rFonts w:ascii="Aptos" w:hAnsi="Aptos"/>
        </w:rPr>
        <w:t>-2</w:t>
      </w:r>
      <w:r w:rsidR="00117774" w:rsidRPr="00165D8C">
        <w:rPr>
          <w:rFonts w:ascii="Aptos" w:hAnsi="Aptos"/>
        </w:rPr>
        <w:t>6</w:t>
      </w:r>
      <w:r w:rsidRPr="00165D8C">
        <w:rPr>
          <w:rFonts w:ascii="Aptos" w:hAnsi="Aptos"/>
        </w:rPr>
        <w:t xml:space="preserve">. </w:t>
      </w:r>
    </w:p>
    <w:p w14:paraId="26344A8A" w14:textId="12AC87AE" w:rsidR="00AD18D4" w:rsidRDefault="009A0F46" w:rsidP="00506E46">
      <w:pPr>
        <w:pStyle w:val="Heading4"/>
        <w:rPr>
          <w:rFonts w:ascii="Aptos" w:hAnsi="Aptos"/>
          <w:color w:val="7A9F4C"/>
          <w:sz w:val="20"/>
          <w:szCs w:val="20"/>
        </w:rPr>
      </w:pPr>
      <w:bookmarkStart w:id="25" w:name="_Hlk108009425"/>
      <w:r w:rsidRPr="00165D8C">
        <w:tab/>
      </w:r>
      <w:bookmarkStart w:id="26" w:name="_Toc197608604"/>
      <w:r w:rsidR="00AD18D4" w:rsidRPr="00EA1757">
        <w:rPr>
          <w:rFonts w:ascii="Aptos" w:hAnsi="Aptos"/>
          <w:b/>
          <w:bCs/>
          <w:color w:val="7A9F4C"/>
          <w:sz w:val="20"/>
          <w:szCs w:val="20"/>
        </w:rPr>
        <w:t xml:space="preserve">Table </w:t>
      </w:r>
      <w:r w:rsidR="00DA522E" w:rsidRPr="00EA1757">
        <w:rPr>
          <w:rFonts w:ascii="Aptos" w:hAnsi="Aptos"/>
          <w:b/>
          <w:bCs/>
          <w:color w:val="7A9F4C"/>
          <w:sz w:val="20"/>
          <w:szCs w:val="20"/>
        </w:rPr>
        <w:t>2</w:t>
      </w:r>
      <w:r w:rsidR="00AD18D4" w:rsidRPr="00EA1757">
        <w:rPr>
          <w:rFonts w:ascii="Aptos" w:hAnsi="Aptos"/>
          <w:b/>
          <w:bCs/>
          <w:color w:val="7A9F4C"/>
          <w:sz w:val="20"/>
          <w:szCs w:val="20"/>
        </w:rPr>
        <w:t>:</w:t>
      </w:r>
      <w:r w:rsidR="00AD18D4" w:rsidRPr="00EA1757">
        <w:rPr>
          <w:rFonts w:ascii="Aptos" w:hAnsi="Aptos"/>
          <w:color w:val="7A9F4C"/>
          <w:sz w:val="20"/>
          <w:szCs w:val="20"/>
        </w:rPr>
        <w:t xml:space="preserve"> Costs of regulatory charging activities for TRA – business cycle 1 July 202</w:t>
      </w:r>
      <w:r w:rsidR="001C006C">
        <w:rPr>
          <w:rFonts w:ascii="Aptos" w:hAnsi="Aptos"/>
          <w:color w:val="7A9F4C"/>
          <w:sz w:val="20"/>
          <w:szCs w:val="20"/>
        </w:rPr>
        <w:t>5</w:t>
      </w:r>
      <w:r w:rsidR="00AD18D4" w:rsidRPr="00EA1757">
        <w:rPr>
          <w:rFonts w:ascii="Aptos" w:hAnsi="Aptos"/>
          <w:color w:val="7A9F4C"/>
          <w:sz w:val="20"/>
          <w:szCs w:val="20"/>
        </w:rPr>
        <w:t xml:space="preserve"> to</w:t>
      </w:r>
      <w:r w:rsidR="00EA1757" w:rsidRPr="00EA1757">
        <w:rPr>
          <w:rFonts w:ascii="Aptos" w:hAnsi="Aptos"/>
          <w:color w:val="7A9F4C"/>
          <w:sz w:val="20"/>
          <w:szCs w:val="20"/>
        </w:rPr>
        <w:t xml:space="preserve"> </w:t>
      </w:r>
      <w:r w:rsidR="00AD18D4" w:rsidRPr="00EA1757">
        <w:rPr>
          <w:rFonts w:ascii="Aptos" w:hAnsi="Aptos"/>
          <w:color w:val="7A9F4C"/>
          <w:sz w:val="20"/>
          <w:szCs w:val="20"/>
        </w:rPr>
        <w:t>30 June 202</w:t>
      </w:r>
      <w:r w:rsidR="001C006C">
        <w:rPr>
          <w:rFonts w:ascii="Aptos" w:hAnsi="Aptos"/>
          <w:color w:val="7A9F4C"/>
          <w:sz w:val="20"/>
          <w:szCs w:val="20"/>
        </w:rPr>
        <w:t>6</w:t>
      </w:r>
      <w:r w:rsidR="00AD18D4" w:rsidRPr="00EA1757">
        <w:rPr>
          <w:rFonts w:ascii="Aptos" w:hAnsi="Aptos"/>
          <w:color w:val="7A9F4C"/>
          <w:sz w:val="20"/>
          <w:szCs w:val="20"/>
        </w:rPr>
        <w:t>.</w:t>
      </w:r>
      <w:bookmarkEnd w:id="26"/>
    </w:p>
    <w:bookmarkEnd w:id="25"/>
    <w:p w14:paraId="2D9C6F70" w14:textId="52E87448" w:rsidR="00AD18D4" w:rsidRPr="00165D8C" w:rsidRDefault="00EE6572" w:rsidP="0028250C">
      <w:pPr>
        <w:rPr>
          <w:rFonts w:ascii="Aptos" w:hAnsi="Aptos"/>
          <w:noProof/>
        </w:rPr>
      </w:pPr>
      <w:r w:rsidRPr="00EE6572">
        <w:rPr>
          <w:noProof/>
        </w:rPr>
        <w:drawing>
          <wp:inline distT="0" distB="0" distL="0" distR="0" wp14:anchorId="3DD66802" wp14:editId="2DD9A514">
            <wp:extent cx="6040615" cy="1762125"/>
            <wp:effectExtent l="0" t="0" r="0" b="0"/>
            <wp:docPr id="8857171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17111" name="Picture 1" descr="A screenshot of a computer&#10;&#10;AI-generated content may be incorrect."/>
                    <pic:cNvPicPr/>
                  </pic:nvPicPr>
                  <pic:blipFill>
                    <a:blip r:embed="rId15"/>
                    <a:stretch>
                      <a:fillRect/>
                    </a:stretch>
                  </pic:blipFill>
                  <pic:spPr>
                    <a:xfrm>
                      <a:off x="0" y="0"/>
                      <a:ext cx="6043623" cy="1763003"/>
                    </a:xfrm>
                    <a:prstGeom prst="rect">
                      <a:avLst/>
                    </a:prstGeom>
                  </pic:spPr>
                </pic:pic>
              </a:graphicData>
            </a:graphic>
          </wp:inline>
        </w:drawing>
      </w:r>
    </w:p>
    <w:p w14:paraId="01D3C2F5" w14:textId="5662CC4D" w:rsidR="00AD18D4" w:rsidRPr="00600419" w:rsidRDefault="00AD18D4" w:rsidP="009B0FB5">
      <w:pPr>
        <w:pStyle w:val="Heading2"/>
        <w:rPr>
          <w:color w:val="7A9F4C"/>
        </w:rPr>
      </w:pPr>
      <w:bookmarkStart w:id="27" w:name="_Toc197608605"/>
      <w:r w:rsidRPr="00600419">
        <w:rPr>
          <w:color w:val="7A9F4C"/>
        </w:rPr>
        <w:t>3.3</w:t>
      </w:r>
      <w:r w:rsidR="007C3F90" w:rsidRPr="00600419">
        <w:rPr>
          <w:color w:val="7A9F4C"/>
        </w:rPr>
        <w:t>.</w:t>
      </w:r>
      <w:r w:rsidRPr="00600419">
        <w:rPr>
          <w:color w:val="7A9F4C"/>
        </w:rPr>
        <w:t xml:space="preserve"> Design of regulatory charges</w:t>
      </w:r>
      <w:bookmarkEnd w:id="27"/>
    </w:p>
    <w:p w14:paraId="33EAE83A" w14:textId="3962176B" w:rsidR="00AD18D4" w:rsidRPr="00165D8C" w:rsidRDefault="00AD18D4" w:rsidP="0028250C">
      <w:pPr>
        <w:rPr>
          <w:rFonts w:ascii="Aptos" w:hAnsi="Aptos"/>
        </w:rPr>
      </w:pPr>
      <w:r w:rsidRPr="00165D8C">
        <w:rPr>
          <w:rFonts w:ascii="Aptos" w:hAnsi="Aptos"/>
        </w:rPr>
        <w:t xml:space="preserve">The costs of delivering the different steps of a skills assessment have been determined using the costs incurred by </w:t>
      </w:r>
      <w:r w:rsidR="007D2FA8" w:rsidRPr="00165D8C">
        <w:rPr>
          <w:rFonts w:ascii="Aptos" w:hAnsi="Aptos"/>
        </w:rPr>
        <w:t>Trades Recognition Australia</w:t>
      </w:r>
      <w:r w:rsidR="007D2FA8" w:rsidRPr="00165D8C" w:rsidDel="007D2FA8">
        <w:rPr>
          <w:rFonts w:ascii="Aptos" w:hAnsi="Aptos"/>
        </w:rPr>
        <w:t xml:space="preserve"> </w:t>
      </w:r>
      <w:r w:rsidRPr="00165D8C">
        <w:rPr>
          <w:rFonts w:ascii="Aptos" w:hAnsi="Aptos"/>
        </w:rPr>
        <w:t xml:space="preserve">to deliver the </w:t>
      </w:r>
      <w:r w:rsidR="00683DA7">
        <w:rPr>
          <w:rFonts w:ascii="Aptos" w:hAnsi="Aptos"/>
        </w:rPr>
        <w:t>six</w:t>
      </w:r>
      <w:r w:rsidRPr="00165D8C">
        <w:rPr>
          <w:rFonts w:ascii="Aptos" w:hAnsi="Aptos"/>
        </w:rPr>
        <w:t xml:space="preserve"> pathways.</w:t>
      </w:r>
    </w:p>
    <w:p w14:paraId="6C7685FB" w14:textId="77777777" w:rsidR="00AD18D4" w:rsidRPr="00165D8C" w:rsidRDefault="00AD18D4" w:rsidP="0028250C">
      <w:pPr>
        <w:rPr>
          <w:rFonts w:ascii="Aptos" w:hAnsi="Aptos"/>
        </w:rPr>
      </w:pPr>
      <w:r w:rsidRPr="00165D8C">
        <w:rPr>
          <w:rFonts w:ascii="Aptos" w:hAnsi="Aptos"/>
        </w:rPr>
        <w:lastRenderedPageBreak/>
        <w:t>Each business process has been broken down into various activities. Business processes have been calculated per activity by staffing level, effort (time) and demand.</w:t>
      </w:r>
    </w:p>
    <w:p w14:paraId="04355E75" w14:textId="0019951C" w:rsidR="00C41F75" w:rsidRPr="00165D8C" w:rsidRDefault="00AD18D4" w:rsidP="0028250C">
      <w:pPr>
        <w:rPr>
          <w:rFonts w:ascii="Aptos" w:hAnsi="Aptos"/>
        </w:rPr>
      </w:pPr>
      <w:r w:rsidRPr="00165D8C">
        <w:rPr>
          <w:rFonts w:ascii="Aptos" w:hAnsi="Aptos"/>
        </w:rPr>
        <w:t xml:space="preserve">Table </w:t>
      </w:r>
      <w:r w:rsidR="008150A0" w:rsidRPr="00165D8C">
        <w:rPr>
          <w:rFonts w:ascii="Aptos" w:hAnsi="Aptos"/>
        </w:rPr>
        <w:t>3</w:t>
      </w:r>
      <w:r w:rsidRPr="00165D8C">
        <w:rPr>
          <w:rFonts w:ascii="Aptos" w:hAnsi="Aptos"/>
        </w:rPr>
        <w:t xml:space="preserve"> lists the proposed applicant fees</w:t>
      </w:r>
      <w:r w:rsidR="00C41F75" w:rsidRPr="00165D8C">
        <w:rPr>
          <w:rFonts w:ascii="Aptos" w:hAnsi="Aptos"/>
        </w:rPr>
        <w:t xml:space="preserve">, demand and forecast revenue </w:t>
      </w:r>
      <w:r w:rsidRPr="00165D8C">
        <w:rPr>
          <w:rFonts w:ascii="Aptos" w:hAnsi="Aptos"/>
        </w:rPr>
        <w:t>under the charging model to recover the costs of regulatory activities</w:t>
      </w:r>
      <w:r w:rsidR="00C41F75" w:rsidRPr="00165D8C">
        <w:rPr>
          <w:rFonts w:ascii="Aptos" w:hAnsi="Aptos"/>
        </w:rPr>
        <w:t xml:space="preserve"> for the 20</w:t>
      </w:r>
      <w:r w:rsidR="00312814" w:rsidRPr="00165D8C">
        <w:rPr>
          <w:rFonts w:ascii="Aptos" w:hAnsi="Aptos"/>
        </w:rPr>
        <w:t>2</w:t>
      </w:r>
      <w:r w:rsidR="00150592">
        <w:rPr>
          <w:rFonts w:ascii="Aptos" w:hAnsi="Aptos"/>
        </w:rPr>
        <w:t>5</w:t>
      </w:r>
      <w:r w:rsidR="00312814" w:rsidRPr="00165D8C">
        <w:rPr>
          <w:rFonts w:ascii="Aptos" w:hAnsi="Aptos"/>
        </w:rPr>
        <w:t>-2</w:t>
      </w:r>
      <w:r w:rsidR="00150592">
        <w:rPr>
          <w:rFonts w:ascii="Aptos" w:hAnsi="Aptos"/>
        </w:rPr>
        <w:t>6</w:t>
      </w:r>
      <w:r w:rsidR="00C41F75" w:rsidRPr="00165D8C">
        <w:rPr>
          <w:rFonts w:ascii="Aptos" w:hAnsi="Aptos"/>
        </w:rPr>
        <w:t xml:space="preserve"> financial year</w:t>
      </w:r>
      <w:r w:rsidRPr="00165D8C">
        <w:rPr>
          <w:rFonts w:ascii="Aptos" w:hAnsi="Aptos"/>
        </w:rPr>
        <w:t xml:space="preserve">. </w:t>
      </w:r>
    </w:p>
    <w:p w14:paraId="6092155B" w14:textId="35007206" w:rsidR="00CD7AA3" w:rsidRPr="00165D8C" w:rsidRDefault="00AD18D4" w:rsidP="0028250C">
      <w:pPr>
        <w:rPr>
          <w:rFonts w:ascii="Aptos" w:hAnsi="Aptos"/>
        </w:rPr>
      </w:pPr>
      <w:r w:rsidRPr="00165D8C">
        <w:rPr>
          <w:rFonts w:ascii="Aptos" w:hAnsi="Aptos"/>
        </w:rPr>
        <w:t xml:space="preserve">The </w:t>
      </w:r>
      <w:r w:rsidR="00C41F75" w:rsidRPr="00165D8C">
        <w:rPr>
          <w:rFonts w:ascii="Aptos" w:hAnsi="Aptos"/>
        </w:rPr>
        <w:t xml:space="preserve">cost recovery aligns with the </w:t>
      </w:r>
      <w:r w:rsidRPr="00165D8C">
        <w:rPr>
          <w:rFonts w:ascii="Aptos" w:hAnsi="Aptos"/>
        </w:rPr>
        <w:t>portfolio government processes and the obligations of the Portfolio Charging Review</w:t>
      </w:r>
      <w:r w:rsidR="00A42762" w:rsidRPr="00165D8C">
        <w:rPr>
          <w:rFonts w:ascii="Aptos" w:hAnsi="Aptos"/>
        </w:rPr>
        <w:t xml:space="preserve"> for the Department of Employment and Workplace Relations</w:t>
      </w:r>
      <w:r w:rsidR="0097034E" w:rsidRPr="00165D8C">
        <w:rPr>
          <w:rFonts w:ascii="Aptos" w:hAnsi="Aptos"/>
        </w:rPr>
        <w:t xml:space="preserve"> scheduled for 202</w:t>
      </w:r>
      <w:r w:rsidR="001D6BB1" w:rsidRPr="00165D8C">
        <w:rPr>
          <w:rFonts w:ascii="Aptos" w:hAnsi="Aptos"/>
        </w:rPr>
        <w:t>4</w:t>
      </w:r>
      <w:r w:rsidR="001540B3">
        <w:rPr>
          <w:rFonts w:ascii="Aptos" w:hAnsi="Aptos"/>
        </w:rPr>
        <w:t>.</w:t>
      </w:r>
      <w:r w:rsidRPr="00165D8C">
        <w:rPr>
          <w:rFonts w:ascii="Aptos" w:hAnsi="Aptos"/>
        </w:rPr>
        <w:t xml:space="preserve"> </w:t>
      </w:r>
      <w:r w:rsidR="007D2FA8" w:rsidRPr="00165D8C">
        <w:rPr>
          <w:rFonts w:ascii="Aptos" w:hAnsi="Aptos"/>
        </w:rPr>
        <w:t>Trades Recognition Australia</w:t>
      </w:r>
      <w:r w:rsidR="007D2FA8" w:rsidRPr="00165D8C" w:rsidDel="007D2FA8">
        <w:rPr>
          <w:rFonts w:ascii="Aptos" w:hAnsi="Aptos"/>
        </w:rPr>
        <w:t xml:space="preserve"> </w:t>
      </w:r>
      <w:r w:rsidRPr="00165D8C">
        <w:rPr>
          <w:rFonts w:ascii="Aptos" w:hAnsi="Aptos"/>
        </w:rPr>
        <w:t xml:space="preserve">fees will be published on the </w:t>
      </w:r>
      <w:r w:rsidR="00E631D8" w:rsidRPr="00165D8C">
        <w:rPr>
          <w:rFonts w:ascii="Aptos" w:hAnsi="Aptos"/>
        </w:rPr>
        <w:t>Trades Recognition Australia</w:t>
      </w:r>
      <w:r w:rsidR="00E631D8" w:rsidRPr="00165D8C" w:rsidDel="007D2FA8">
        <w:rPr>
          <w:rFonts w:ascii="Aptos" w:hAnsi="Aptos"/>
        </w:rPr>
        <w:t xml:space="preserve"> </w:t>
      </w:r>
      <w:r w:rsidRPr="00165D8C">
        <w:rPr>
          <w:rFonts w:ascii="Aptos" w:hAnsi="Aptos"/>
        </w:rPr>
        <w:t xml:space="preserve">website </w:t>
      </w:r>
      <w:hyperlink r:id="rId16" w:history="1">
        <w:r w:rsidRPr="00165D8C">
          <w:rPr>
            <w:rStyle w:val="Hyperlink"/>
            <w:rFonts w:ascii="Aptos" w:hAnsi="Aptos"/>
          </w:rPr>
          <w:t>www.tradesrecognitionaustralia.gov.au</w:t>
        </w:r>
      </w:hyperlink>
      <w:r w:rsidRPr="00165D8C">
        <w:rPr>
          <w:rFonts w:ascii="Aptos" w:hAnsi="Aptos"/>
        </w:rPr>
        <w:t>.</w:t>
      </w:r>
    </w:p>
    <w:p w14:paraId="7B381D84" w14:textId="162F8B08" w:rsidR="00887586" w:rsidRDefault="009A0F46" w:rsidP="00853EBE">
      <w:pPr>
        <w:pStyle w:val="Heading4"/>
        <w:rPr>
          <w:rFonts w:ascii="Aptos" w:hAnsi="Aptos"/>
          <w:color w:val="7A9F4C"/>
          <w:sz w:val="20"/>
          <w:szCs w:val="20"/>
        </w:rPr>
      </w:pPr>
      <w:r w:rsidRPr="00165D8C">
        <w:tab/>
      </w:r>
      <w:bookmarkStart w:id="28" w:name="_Toc197608606"/>
      <w:r w:rsidR="00AD18D4" w:rsidRPr="00EA1757">
        <w:rPr>
          <w:rFonts w:ascii="Aptos" w:hAnsi="Aptos"/>
          <w:b/>
          <w:bCs/>
          <w:color w:val="7A9F4C"/>
          <w:sz w:val="20"/>
          <w:szCs w:val="20"/>
        </w:rPr>
        <w:t xml:space="preserve">Table </w:t>
      </w:r>
      <w:r w:rsidR="008150A0" w:rsidRPr="00EA1757">
        <w:rPr>
          <w:rFonts w:ascii="Aptos" w:hAnsi="Aptos"/>
          <w:b/>
          <w:bCs/>
          <w:color w:val="7A9F4C"/>
          <w:sz w:val="20"/>
          <w:szCs w:val="20"/>
        </w:rPr>
        <w:t>3</w:t>
      </w:r>
      <w:r w:rsidR="00AD18D4" w:rsidRPr="00EA1757">
        <w:rPr>
          <w:rFonts w:ascii="Aptos" w:hAnsi="Aptos"/>
          <w:b/>
          <w:bCs/>
          <w:color w:val="7A9F4C"/>
          <w:sz w:val="20"/>
          <w:szCs w:val="20"/>
        </w:rPr>
        <w:t>:</w:t>
      </w:r>
      <w:r w:rsidR="00AD18D4" w:rsidRPr="00EA1757">
        <w:rPr>
          <w:rFonts w:ascii="Aptos" w:hAnsi="Aptos"/>
          <w:color w:val="7A9F4C"/>
          <w:sz w:val="20"/>
          <w:szCs w:val="20"/>
        </w:rPr>
        <w:t xml:space="preserve"> Charge rates and revenue estimates for the 1 July </w:t>
      </w:r>
      <w:r w:rsidR="00FD380D" w:rsidRPr="00EA1757">
        <w:rPr>
          <w:rFonts w:ascii="Aptos" w:hAnsi="Aptos"/>
          <w:color w:val="7A9F4C"/>
          <w:sz w:val="20"/>
          <w:szCs w:val="20"/>
        </w:rPr>
        <w:t>202</w:t>
      </w:r>
      <w:r w:rsidR="001C006C">
        <w:rPr>
          <w:rFonts w:ascii="Aptos" w:hAnsi="Aptos"/>
          <w:color w:val="7A9F4C"/>
          <w:sz w:val="20"/>
          <w:szCs w:val="20"/>
        </w:rPr>
        <w:t>5</w:t>
      </w:r>
      <w:r w:rsidR="00FD380D" w:rsidRPr="00EA1757">
        <w:rPr>
          <w:rFonts w:ascii="Aptos" w:hAnsi="Aptos"/>
          <w:color w:val="7A9F4C"/>
          <w:sz w:val="20"/>
          <w:szCs w:val="20"/>
        </w:rPr>
        <w:t xml:space="preserve"> </w:t>
      </w:r>
      <w:r w:rsidR="00956B34" w:rsidRPr="00EA1757">
        <w:rPr>
          <w:rFonts w:ascii="Aptos" w:hAnsi="Aptos"/>
          <w:color w:val="7A9F4C"/>
          <w:sz w:val="20"/>
          <w:szCs w:val="20"/>
        </w:rPr>
        <w:t>–</w:t>
      </w:r>
      <w:r w:rsidR="00AD18D4" w:rsidRPr="00EA1757">
        <w:rPr>
          <w:rFonts w:ascii="Aptos" w:hAnsi="Aptos"/>
          <w:color w:val="7A9F4C"/>
          <w:sz w:val="20"/>
          <w:szCs w:val="20"/>
        </w:rPr>
        <w:t xml:space="preserve"> 30 June </w:t>
      </w:r>
      <w:r w:rsidR="003469AE" w:rsidRPr="00EA1757">
        <w:rPr>
          <w:rFonts w:ascii="Aptos" w:hAnsi="Aptos"/>
          <w:color w:val="7A9F4C"/>
          <w:sz w:val="20"/>
          <w:szCs w:val="20"/>
        </w:rPr>
        <w:t>202</w:t>
      </w:r>
      <w:r w:rsidR="001C006C">
        <w:rPr>
          <w:rFonts w:ascii="Aptos" w:hAnsi="Aptos"/>
          <w:color w:val="7A9F4C"/>
          <w:sz w:val="20"/>
          <w:szCs w:val="20"/>
        </w:rPr>
        <w:t>6</w:t>
      </w:r>
      <w:r w:rsidR="003469AE" w:rsidRPr="00EA1757">
        <w:rPr>
          <w:rFonts w:ascii="Aptos" w:hAnsi="Aptos"/>
          <w:color w:val="7A9F4C"/>
          <w:sz w:val="20"/>
          <w:szCs w:val="20"/>
        </w:rPr>
        <w:t xml:space="preserve"> </w:t>
      </w:r>
      <w:r w:rsidR="00AD18D4" w:rsidRPr="00EA1757">
        <w:rPr>
          <w:rFonts w:ascii="Aptos" w:hAnsi="Aptos"/>
          <w:color w:val="7A9F4C"/>
          <w:sz w:val="20"/>
          <w:szCs w:val="20"/>
        </w:rPr>
        <w:t>business cycle</w:t>
      </w:r>
      <w:bookmarkEnd w:id="28"/>
    </w:p>
    <w:p w14:paraId="285A0487" w14:textId="64E0E817" w:rsidR="00064005" w:rsidRPr="007B639D" w:rsidRDefault="00064005" w:rsidP="007B639D">
      <w:r w:rsidRPr="00064005">
        <w:rPr>
          <w:noProof/>
        </w:rPr>
        <w:drawing>
          <wp:inline distT="0" distB="0" distL="0" distR="0" wp14:anchorId="2334B5FD" wp14:editId="69062A2E">
            <wp:extent cx="5731510" cy="4506595"/>
            <wp:effectExtent l="0" t="0" r="2540" b="8255"/>
            <wp:docPr id="1286499783" name="Picture 1" descr="A green and white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99783" name="Picture 1" descr="A green and white table with black text&#10;&#10;AI-generated content may be incorrect."/>
                    <pic:cNvPicPr/>
                  </pic:nvPicPr>
                  <pic:blipFill>
                    <a:blip r:embed="rId17"/>
                    <a:stretch>
                      <a:fillRect/>
                    </a:stretch>
                  </pic:blipFill>
                  <pic:spPr>
                    <a:xfrm>
                      <a:off x="0" y="0"/>
                      <a:ext cx="5731510" cy="4506595"/>
                    </a:xfrm>
                    <a:prstGeom prst="rect">
                      <a:avLst/>
                    </a:prstGeom>
                  </pic:spPr>
                </pic:pic>
              </a:graphicData>
            </a:graphic>
          </wp:inline>
        </w:drawing>
      </w:r>
    </w:p>
    <w:p w14:paraId="13A104C3" w14:textId="61D57EFE" w:rsidR="00887586" w:rsidRPr="00165D8C" w:rsidRDefault="00887586" w:rsidP="0028250C">
      <w:pPr>
        <w:rPr>
          <w:rFonts w:ascii="Aptos" w:hAnsi="Aptos"/>
        </w:rPr>
        <w:sectPr w:rsidR="00887586" w:rsidRPr="00165D8C">
          <w:pgSz w:w="11906" w:h="16838"/>
          <w:pgMar w:top="1440" w:right="1440" w:bottom="1440" w:left="1440" w:header="708" w:footer="708" w:gutter="0"/>
          <w:cols w:space="708"/>
          <w:docGrid w:linePitch="360"/>
        </w:sectPr>
      </w:pPr>
    </w:p>
    <w:p w14:paraId="2591470A" w14:textId="4785ED00" w:rsidR="00AD18D4" w:rsidRPr="00F86625" w:rsidRDefault="00F958E8" w:rsidP="005658F7">
      <w:pPr>
        <w:pStyle w:val="Heading1"/>
        <w:shd w:val="clear" w:color="auto" w:fill="404246"/>
        <w:rPr>
          <w:color w:val="FFFFFF" w:themeColor="background1"/>
          <w:lang w:eastAsia="en-AU"/>
        </w:rPr>
      </w:pPr>
      <w:bookmarkStart w:id="29" w:name="_Toc197608607"/>
      <w:r w:rsidRPr="00F86625">
        <w:rPr>
          <w:color w:val="FFFFFF" w:themeColor="background1"/>
          <w:lang w:eastAsia="en-AU"/>
        </w:rPr>
        <w:lastRenderedPageBreak/>
        <w:t>4.</w:t>
      </w:r>
      <w:r w:rsidR="00AD18D4" w:rsidRPr="00F86625">
        <w:rPr>
          <w:color w:val="FFFFFF" w:themeColor="background1"/>
          <w:lang w:eastAsia="en-AU"/>
        </w:rPr>
        <w:t xml:space="preserve"> </w:t>
      </w:r>
      <w:r w:rsidRPr="00F86625">
        <w:rPr>
          <w:color w:val="FFFFFF" w:themeColor="background1"/>
          <w:lang w:eastAsia="en-AU"/>
        </w:rPr>
        <w:t xml:space="preserve"> Risk assessment</w:t>
      </w:r>
      <w:bookmarkEnd w:id="29"/>
      <w:r w:rsidR="00AD18D4" w:rsidRPr="00F86625">
        <w:rPr>
          <w:color w:val="FFFFFF" w:themeColor="background1"/>
          <w:lang w:eastAsia="en-AU"/>
        </w:rPr>
        <w:t xml:space="preserve"> </w:t>
      </w:r>
    </w:p>
    <w:p w14:paraId="05A59206" w14:textId="710AD48E" w:rsidR="00F958E8" w:rsidRPr="00165D8C" w:rsidRDefault="00F958E8" w:rsidP="0028250C">
      <w:pPr>
        <w:rPr>
          <w:rFonts w:ascii="Aptos" w:hAnsi="Aptos"/>
        </w:rPr>
      </w:pPr>
      <w:bookmarkStart w:id="30" w:name="_Hlk109313456"/>
      <w:bookmarkStart w:id="31" w:name="_Hlk109313339"/>
      <w:r w:rsidRPr="00165D8C">
        <w:rPr>
          <w:rFonts w:ascii="Aptos" w:hAnsi="Aptos"/>
        </w:rPr>
        <w:t xml:space="preserve">As part of the design of the CRIS, </w:t>
      </w:r>
      <w:r w:rsidR="006B57DC" w:rsidRPr="00165D8C">
        <w:rPr>
          <w:rFonts w:ascii="Aptos" w:hAnsi="Aptos"/>
        </w:rPr>
        <w:t>Trades Recognition Australia</w:t>
      </w:r>
      <w:r w:rsidR="006B57DC" w:rsidRPr="00165D8C" w:rsidDel="006B57DC">
        <w:rPr>
          <w:rFonts w:ascii="Aptos" w:hAnsi="Aptos"/>
        </w:rPr>
        <w:t xml:space="preserve"> </w:t>
      </w:r>
      <w:r w:rsidRPr="00165D8C">
        <w:rPr>
          <w:rFonts w:ascii="Aptos" w:hAnsi="Aptos"/>
        </w:rPr>
        <w:t xml:space="preserve">completed a Charging Risk Assessment (CRA), pursuant to the Charging Framework. According to the CRA methodology, the overall rating for the proposed cost recovery model for </w:t>
      </w:r>
      <w:r w:rsidR="006B57DC" w:rsidRPr="00165D8C">
        <w:rPr>
          <w:rFonts w:ascii="Aptos" w:hAnsi="Aptos"/>
        </w:rPr>
        <w:t xml:space="preserve">Trades </w:t>
      </w:r>
      <w:r w:rsidR="006B57DC" w:rsidRPr="00DD1707">
        <w:rPr>
          <w:rFonts w:ascii="Aptos" w:hAnsi="Aptos"/>
        </w:rPr>
        <w:t>Recognition Australia</w:t>
      </w:r>
      <w:r w:rsidR="006B57DC" w:rsidRPr="00DD1707" w:rsidDel="006B57DC">
        <w:rPr>
          <w:rFonts w:ascii="Aptos" w:hAnsi="Aptos"/>
        </w:rPr>
        <w:t xml:space="preserve"> </w:t>
      </w:r>
      <w:r w:rsidRPr="00DD1707">
        <w:rPr>
          <w:rFonts w:ascii="Aptos" w:hAnsi="Aptos"/>
        </w:rPr>
        <w:t xml:space="preserve">is </w:t>
      </w:r>
      <w:r w:rsidR="00FD380D" w:rsidRPr="00DD1707">
        <w:rPr>
          <w:rFonts w:ascii="Aptos" w:hAnsi="Aptos"/>
        </w:rPr>
        <w:t>medium</w:t>
      </w:r>
      <w:r w:rsidRPr="00DD1707">
        <w:rPr>
          <w:rFonts w:ascii="Aptos" w:hAnsi="Aptos"/>
        </w:rPr>
        <w:t>.</w:t>
      </w:r>
      <w:r w:rsidRPr="00165D8C">
        <w:rPr>
          <w:rFonts w:ascii="Aptos" w:hAnsi="Aptos"/>
        </w:rPr>
        <w:t xml:space="preserve"> There is an inherent risk that, over time, these fees may not capture the efficient cost of service delivery.</w:t>
      </w:r>
    </w:p>
    <w:p w14:paraId="0C31C5BE" w14:textId="442A6473" w:rsidR="00F958E8" w:rsidRPr="00165D8C" w:rsidRDefault="00D84A0F" w:rsidP="0028250C">
      <w:pPr>
        <w:rPr>
          <w:rFonts w:ascii="Aptos" w:hAnsi="Aptos"/>
        </w:rPr>
      </w:pPr>
      <w:bookmarkStart w:id="32" w:name="_Hlk109313532"/>
      <w:bookmarkEnd w:id="30"/>
      <w:r>
        <w:rPr>
          <w:rFonts w:ascii="Aptos" w:hAnsi="Aptos"/>
        </w:rPr>
        <w:t>TRA’s Cost Recovery Model is set over a period of four years and a</w:t>
      </w:r>
      <w:r w:rsidR="00166DF0" w:rsidRPr="00165D8C">
        <w:rPr>
          <w:rFonts w:ascii="Aptos" w:hAnsi="Aptos"/>
        </w:rPr>
        <w:t xml:space="preserve">s part of </w:t>
      </w:r>
      <w:r w:rsidR="00B068C8" w:rsidRPr="00165D8C">
        <w:rPr>
          <w:rFonts w:ascii="Aptos" w:hAnsi="Aptos"/>
        </w:rPr>
        <w:t>its</w:t>
      </w:r>
      <w:r w:rsidR="00166DF0" w:rsidRPr="00165D8C">
        <w:rPr>
          <w:rFonts w:ascii="Aptos" w:hAnsi="Aptos"/>
        </w:rPr>
        <w:t xml:space="preserve"> risk mitigation strategy, i</w:t>
      </w:r>
      <w:r w:rsidR="00F958E8" w:rsidRPr="00165D8C">
        <w:rPr>
          <w:rFonts w:ascii="Aptos" w:hAnsi="Aptos"/>
        </w:rPr>
        <w:t xml:space="preserve">f actual demand </w:t>
      </w:r>
      <w:r w:rsidR="00166DF0" w:rsidRPr="00165D8C">
        <w:rPr>
          <w:rFonts w:ascii="Aptos" w:hAnsi="Aptos"/>
        </w:rPr>
        <w:t>or internal financial reviews vary</w:t>
      </w:r>
      <w:r w:rsidR="00F958E8" w:rsidRPr="00165D8C">
        <w:rPr>
          <w:rFonts w:ascii="Aptos" w:hAnsi="Aptos"/>
        </w:rPr>
        <w:t xml:space="preserve"> from the forecast by more than 20 per cent</w:t>
      </w:r>
      <w:r w:rsidR="00B31371">
        <w:rPr>
          <w:rFonts w:ascii="Aptos" w:hAnsi="Aptos"/>
        </w:rPr>
        <w:t xml:space="preserve"> in the first year, </w:t>
      </w:r>
      <w:r w:rsidR="00D3585C">
        <w:rPr>
          <w:rFonts w:ascii="Aptos" w:hAnsi="Aptos"/>
        </w:rPr>
        <w:t xml:space="preserve">15 per cent </w:t>
      </w:r>
      <w:r w:rsidR="008D57FB">
        <w:rPr>
          <w:rFonts w:ascii="Aptos" w:hAnsi="Aptos"/>
        </w:rPr>
        <w:t xml:space="preserve">in the first </w:t>
      </w:r>
      <w:r w:rsidR="00D3585C">
        <w:rPr>
          <w:rFonts w:ascii="Aptos" w:hAnsi="Aptos"/>
        </w:rPr>
        <w:t xml:space="preserve">two years or ten per cent </w:t>
      </w:r>
      <w:r w:rsidR="008D57FB">
        <w:rPr>
          <w:rFonts w:ascii="Aptos" w:hAnsi="Aptos"/>
        </w:rPr>
        <w:t>in the first</w:t>
      </w:r>
      <w:r w:rsidR="00D3585C">
        <w:rPr>
          <w:rFonts w:ascii="Aptos" w:hAnsi="Aptos"/>
        </w:rPr>
        <w:t xml:space="preserve"> three years</w:t>
      </w:r>
      <w:r w:rsidR="00F958E8" w:rsidRPr="00165D8C">
        <w:rPr>
          <w:rFonts w:ascii="Aptos" w:hAnsi="Aptos"/>
        </w:rPr>
        <w:t xml:space="preserve">, the CRIS will be reviewed for the following </w:t>
      </w:r>
      <w:r w:rsidR="00956B34" w:rsidRPr="00165D8C">
        <w:rPr>
          <w:rFonts w:ascii="Aptos" w:hAnsi="Aptos"/>
        </w:rPr>
        <w:t xml:space="preserve">financial </w:t>
      </w:r>
      <w:r w:rsidR="00F958E8" w:rsidRPr="00165D8C">
        <w:rPr>
          <w:rFonts w:ascii="Aptos" w:hAnsi="Aptos"/>
        </w:rPr>
        <w:t>year and fees changed based on revised expectations</w:t>
      </w:r>
      <w:r w:rsidR="00166DF0" w:rsidRPr="00165D8C">
        <w:rPr>
          <w:rFonts w:ascii="Aptos" w:hAnsi="Aptos"/>
        </w:rPr>
        <w:t>,</w:t>
      </w:r>
      <w:r w:rsidR="00F958E8" w:rsidRPr="00165D8C">
        <w:rPr>
          <w:rFonts w:ascii="Aptos" w:hAnsi="Aptos"/>
        </w:rPr>
        <w:t xml:space="preserve"> if needed. </w:t>
      </w:r>
      <w:r w:rsidR="006B57DC" w:rsidRPr="00165D8C">
        <w:rPr>
          <w:rFonts w:ascii="Aptos" w:hAnsi="Aptos"/>
        </w:rPr>
        <w:t>Trades Recognition Australia</w:t>
      </w:r>
      <w:r w:rsidR="006B57DC" w:rsidRPr="00165D8C" w:rsidDel="006B57DC">
        <w:rPr>
          <w:rFonts w:ascii="Aptos" w:hAnsi="Aptos"/>
        </w:rPr>
        <w:t xml:space="preserve"> </w:t>
      </w:r>
      <w:r w:rsidR="00F958E8" w:rsidRPr="00165D8C">
        <w:rPr>
          <w:rFonts w:ascii="Aptos" w:hAnsi="Aptos"/>
        </w:rPr>
        <w:t xml:space="preserve">will inform applicants of any changes by publishing notifications on </w:t>
      </w:r>
      <w:r w:rsidR="00166DF0" w:rsidRPr="00165D8C">
        <w:rPr>
          <w:rFonts w:ascii="Aptos" w:hAnsi="Aptos"/>
        </w:rPr>
        <w:t>its</w:t>
      </w:r>
      <w:r w:rsidR="00C865FB" w:rsidRPr="00165D8C">
        <w:rPr>
          <w:rFonts w:ascii="Aptos" w:hAnsi="Aptos"/>
        </w:rPr>
        <w:t xml:space="preserve"> </w:t>
      </w:r>
      <w:r w:rsidR="00F958E8" w:rsidRPr="00165D8C">
        <w:rPr>
          <w:rFonts w:ascii="Aptos" w:hAnsi="Aptos"/>
        </w:rPr>
        <w:t>website.</w:t>
      </w:r>
    </w:p>
    <w:bookmarkEnd w:id="32"/>
    <w:p w14:paraId="2DAE551E" w14:textId="6E0FB2F5" w:rsidR="00AD18D4" w:rsidRPr="00165D8C" w:rsidRDefault="006B57DC" w:rsidP="0028250C">
      <w:pPr>
        <w:rPr>
          <w:rFonts w:ascii="Aptos" w:hAnsi="Aptos"/>
        </w:rPr>
      </w:pPr>
      <w:r w:rsidRPr="00165D8C">
        <w:rPr>
          <w:rFonts w:ascii="Aptos" w:hAnsi="Aptos"/>
        </w:rPr>
        <w:t xml:space="preserve">Trades Recognition Australia </w:t>
      </w:r>
      <w:r w:rsidR="00B068C8" w:rsidRPr="00165D8C">
        <w:rPr>
          <w:rFonts w:ascii="Aptos" w:hAnsi="Aptos"/>
        </w:rPr>
        <w:t>will utilise a quarterly moving average of demand analysis and undertake internal annual financial reviews to monitor its demand forecasts and costs.</w:t>
      </w:r>
      <w:bookmarkEnd w:id="31"/>
    </w:p>
    <w:p w14:paraId="2AAA258F" w14:textId="30D1F1D6" w:rsidR="00F958E8" w:rsidRPr="00F86625" w:rsidRDefault="00F958E8" w:rsidP="00F86625">
      <w:pPr>
        <w:pStyle w:val="Heading1"/>
        <w:shd w:val="clear" w:color="auto" w:fill="404246"/>
        <w:rPr>
          <w:color w:val="FFFFFF" w:themeColor="background1"/>
          <w:lang w:eastAsia="en-AU"/>
        </w:rPr>
      </w:pPr>
      <w:bookmarkStart w:id="33" w:name="_Toc197608608"/>
      <w:r w:rsidRPr="00F86625">
        <w:rPr>
          <w:color w:val="FFFFFF" w:themeColor="background1"/>
          <w:lang w:eastAsia="en-AU"/>
        </w:rPr>
        <w:t>5.  Stakeholder Engagement</w:t>
      </w:r>
      <w:bookmarkEnd w:id="33"/>
    </w:p>
    <w:p w14:paraId="71E1C916" w14:textId="11989BBD" w:rsidR="00F958E8" w:rsidRPr="00165D8C" w:rsidRDefault="00F958E8" w:rsidP="0028250C">
      <w:pPr>
        <w:rPr>
          <w:rFonts w:ascii="Aptos" w:hAnsi="Aptos"/>
        </w:rPr>
      </w:pPr>
      <w:r w:rsidRPr="00165D8C">
        <w:rPr>
          <w:rFonts w:ascii="Aptos" w:hAnsi="Aptos"/>
        </w:rPr>
        <w:t xml:space="preserve">To provide applicants and other stakeholders, such as migration agents and RTOs, the opportunity to comment on the revised cost recovery fees, </w:t>
      </w:r>
      <w:r w:rsidR="006B57DC" w:rsidRPr="00165D8C">
        <w:rPr>
          <w:rFonts w:ascii="Aptos" w:hAnsi="Aptos"/>
        </w:rPr>
        <w:t>Trades Recognition Australia</w:t>
      </w:r>
      <w:r w:rsidR="006B57DC" w:rsidRPr="00165D8C" w:rsidDel="006B57DC">
        <w:rPr>
          <w:rFonts w:ascii="Aptos" w:hAnsi="Aptos"/>
        </w:rPr>
        <w:t xml:space="preserve"> </w:t>
      </w:r>
      <w:r w:rsidRPr="00165D8C">
        <w:rPr>
          <w:rFonts w:ascii="Aptos" w:hAnsi="Aptos"/>
        </w:rPr>
        <w:t xml:space="preserve">released a Consultation Paper on the Department’s website. </w:t>
      </w:r>
    </w:p>
    <w:p w14:paraId="5E5A112A" w14:textId="77777777" w:rsidR="000B533C" w:rsidRPr="00165D8C" w:rsidRDefault="00F958E8" w:rsidP="0028250C">
      <w:pPr>
        <w:rPr>
          <w:rFonts w:ascii="Aptos" w:hAnsi="Aptos"/>
        </w:rPr>
      </w:pPr>
      <w:r w:rsidRPr="00165D8C">
        <w:rPr>
          <w:rFonts w:ascii="Aptos" w:hAnsi="Aptos"/>
        </w:rPr>
        <w:t xml:space="preserve">An announcement about the consultation process was made on the </w:t>
      </w:r>
      <w:r w:rsidR="006B57DC" w:rsidRPr="00165D8C">
        <w:rPr>
          <w:rFonts w:ascii="Aptos" w:hAnsi="Aptos"/>
        </w:rPr>
        <w:t>Trades Recognition Australia</w:t>
      </w:r>
      <w:r w:rsidR="006B57DC" w:rsidRPr="00165D8C" w:rsidDel="006B57DC">
        <w:rPr>
          <w:rFonts w:ascii="Aptos" w:hAnsi="Aptos"/>
        </w:rPr>
        <w:t xml:space="preserve"> </w:t>
      </w:r>
      <w:r w:rsidRPr="00165D8C">
        <w:rPr>
          <w:rFonts w:ascii="Aptos" w:hAnsi="Aptos"/>
        </w:rPr>
        <w:t xml:space="preserve">page of the Department’s website, as well as a news item on the </w:t>
      </w:r>
      <w:r w:rsidR="006B57DC" w:rsidRPr="00165D8C">
        <w:rPr>
          <w:rFonts w:ascii="Aptos" w:hAnsi="Aptos"/>
        </w:rPr>
        <w:t>Trades Recognition Australia</w:t>
      </w:r>
      <w:r w:rsidR="006B57DC" w:rsidRPr="00165D8C" w:rsidDel="006B57DC">
        <w:rPr>
          <w:rFonts w:ascii="Aptos" w:hAnsi="Aptos"/>
        </w:rPr>
        <w:t xml:space="preserve"> </w:t>
      </w:r>
      <w:r w:rsidRPr="00165D8C">
        <w:rPr>
          <w:rFonts w:ascii="Aptos" w:hAnsi="Aptos"/>
        </w:rPr>
        <w:t xml:space="preserve">website. </w:t>
      </w:r>
      <w:r w:rsidR="000B533C" w:rsidRPr="00165D8C">
        <w:rPr>
          <w:rFonts w:ascii="Aptos" w:hAnsi="Aptos"/>
        </w:rPr>
        <w:t>The Department also emailed key stakeholders directly to advise them of the consultation process and invite their feedback.</w:t>
      </w:r>
    </w:p>
    <w:p w14:paraId="50B1060B" w14:textId="050EB0D5" w:rsidR="006606C8" w:rsidRPr="00165D8C" w:rsidRDefault="00F958E8" w:rsidP="0028250C">
      <w:pPr>
        <w:rPr>
          <w:rFonts w:ascii="Aptos" w:hAnsi="Aptos"/>
        </w:rPr>
      </w:pPr>
      <w:r w:rsidRPr="00165D8C">
        <w:rPr>
          <w:rFonts w:ascii="Aptos" w:hAnsi="Aptos"/>
        </w:rPr>
        <w:t xml:space="preserve">The consultation </w:t>
      </w:r>
      <w:r w:rsidR="00945366" w:rsidRPr="00165D8C">
        <w:rPr>
          <w:rFonts w:ascii="Aptos" w:hAnsi="Aptos"/>
        </w:rPr>
        <w:t xml:space="preserve">period occurred between </w:t>
      </w:r>
      <w:r w:rsidR="006B57DC" w:rsidRPr="00165D8C">
        <w:rPr>
          <w:rFonts w:ascii="Aptos" w:hAnsi="Aptos"/>
        </w:rPr>
        <w:t>5 August</w:t>
      </w:r>
      <w:r w:rsidRPr="00165D8C">
        <w:rPr>
          <w:rFonts w:ascii="Aptos" w:hAnsi="Aptos"/>
        </w:rPr>
        <w:t xml:space="preserve"> 2022 to </w:t>
      </w:r>
      <w:r w:rsidR="006B57DC" w:rsidRPr="00165D8C">
        <w:rPr>
          <w:rFonts w:ascii="Aptos" w:hAnsi="Aptos"/>
        </w:rPr>
        <w:t xml:space="preserve">12 </w:t>
      </w:r>
      <w:r w:rsidRPr="00165D8C">
        <w:rPr>
          <w:rFonts w:ascii="Aptos" w:hAnsi="Aptos"/>
        </w:rPr>
        <w:t>August 2022</w:t>
      </w:r>
      <w:r w:rsidR="001B49D8" w:rsidRPr="00165D8C">
        <w:rPr>
          <w:rFonts w:ascii="Aptos" w:hAnsi="Aptos"/>
        </w:rPr>
        <w:t xml:space="preserve"> and</w:t>
      </w:r>
      <w:r w:rsidR="00941AB8" w:rsidRPr="00165D8C">
        <w:rPr>
          <w:rFonts w:ascii="Aptos" w:hAnsi="Aptos"/>
        </w:rPr>
        <w:t xml:space="preserve"> </w:t>
      </w:r>
      <w:r w:rsidR="001B49D8" w:rsidRPr="00165D8C">
        <w:rPr>
          <w:rFonts w:ascii="Aptos" w:hAnsi="Aptos"/>
        </w:rPr>
        <w:t>f</w:t>
      </w:r>
      <w:r w:rsidR="007C39A4" w:rsidRPr="00165D8C">
        <w:rPr>
          <w:rFonts w:ascii="Aptos" w:hAnsi="Aptos"/>
        </w:rPr>
        <w:t>our</w:t>
      </w:r>
      <w:r w:rsidR="006606C8" w:rsidRPr="00165D8C">
        <w:rPr>
          <w:rFonts w:ascii="Aptos" w:hAnsi="Aptos"/>
        </w:rPr>
        <w:t xml:space="preserve"> submissions were received. </w:t>
      </w:r>
    </w:p>
    <w:p w14:paraId="3FFA0336" w14:textId="77777777" w:rsidR="00F75463" w:rsidRPr="00165D8C" w:rsidRDefault="00F75463" w:rsidP="00F75463">
      <w:pPr>
        <w:rPr>
          <w:rFonts w:ascii="Aptos" w:hAnsi="Aptos"/>
        </w:rPr>
      </w:pPr>
      <w:r w:rsidRPr="00165D8C">
        <w:rPr>
          <w:rFonts w:ascii="Aptos" w:hAnsi="Aptos"/>
        </w:rPr>
        <w:t xml:space="preserve">Two responses were from organisations engaged to deliver technical assessments on behalf of Trades Recognition Australia. These submissions requested clarity in relation to how cost recovery fees charged to participants relate to the payments made to these organisations under the services deed. </w:t>
      </w:r>
    </w:p>
    <w:p w14:paraId="7559FEDD" w14:textId="77777777" w:rsidR="00F75463" w:rsidRPr="00165D8C" w:rsidRDefault="00F75463" w:rsidP="00F75463">
      <w:pPr>
        <w:rPr>
          <w:rFonts w:ascii="Aptos" w:hAnsi="Aptos"/>
        </w:rPr>
      </w:pPr>
      <w:r w:rsidRPr="00165D8C">
        <w:rPr>
          <w:rFonts w:ascii="Aptos" w:hAnsi="Aptos"/>
        </w:rPr>
        <w:t xml:space="preserve">The payment schedules contained in services deeds are agreements between the respective organisation and Trades Recognition Australia for the period of time in which the deed is current and subject to the respective terms and conditions of that deeds. Payments made under these arrangements may be renegotiated during variations or extensions, or during Request for Tender procurement arrangements. In those situations, Trades Recognition Australia will utilise the annual CRIS review to recalculate its cost structure, which includes payments contracted for technical assessments, and if needed, amend the fees charged to participants as set out in its charge rate at </w:t>
      </w:r>
      <w:r w:rsidRPr="00397C30">
        <w:rPr>
          <w:rFonts w:ascii="Aptos" w:hAnsi="Aptos"/>
          <w:b/>
          <w:bCs/>
        </w:rPr>
        <w:t>Table 3</w:t>
      </w:r>
      <w:r w:rsidRPr="00165D8C">
        <w:rPr>
          <w:rFonts w:ascii="Aptos" w:hAnsi="Aptos"/>
        </w:rPr>
        <w:t xml:space="preserve">.    </w:t>
      </w:r>
    </w:p>
    <w:p w14:paraId="189352BB" w14:textId="77777777" w:rsidR="00F75463" w:rsidRPr="00165D8C" w:rsidRDefault="00F75463" w:rsidP="00F75463">
      <w:pPr>
        <w:rPr>
          <w:rFonts w:ascii="Aptos" w:hAnsi="Aptos"/>
        </w:rPr>
      </w:pPr>
      <w:r w:rsidRPr="00165D8C">
        <w:rPr>
          <w:rFonts w:ascii="Aptos" w:hAnsi="Aptos"/>
        </w:rPr>
        <w:t>Two responses were received from organisations in related migration skills and vocational education fields. One of these responses suggested additional transparency would be beneficial in relation to the specific calculation and estimation of outputs and business processes, for example staff time to undertake assessments and forecast methodology, and an independent assessment to consider efficiencies of internal process to manifest in lower charges and consider the impact of these charges on the sector.</w:t>
      </w:r>
    </w:p>
    <w:p w14:paraId="6516D16E" w14:textId="11DBFDDE" w:rsidR="00F958E8" w:rsidRPr="00165D8C" w:rsidRDefault="00F75463" w:rsidP="0028250C">
      <w:pPr>
        <w:rPr>
          <w:rFonts w:ascii="Aptos" w:hAnsi="Aptos"/>
        </w:rPr>
      </w:pPr>
      <w:bookmarkStart w:id="34" w:name="_Hlk111451055"/>
      <w:r w:rsidRPr="00165D8C">
        <w:rPr>
          <w:rFonts w:ascii="Aptos" w:hAnsi="Aptos"/>
        </w:rPr>
        <w:lastRenderedPageBreak/>
        <w:t>Trades Recognition Australia is committed to identifying efficiencies to improve service and lower charge rates for migrants. Since 2019 Trades Recognition Australia has implemented a range of system and document management efficiencies which have reduced staff time to undertake assessments. Cost modelling underpinning the CRIS is subject to rigorous independent review by the Department of Finance. The forecast methodology has been included with detailed demand under Section 7 and Trades Recognition Australia is committed to conduct an annual review, as recommended, to ensure ongoing efficiency gains are reflected in lower charges.</w:t>
      </w:r>
      <w:bookmarkEnd w:id="34"/>
    </w:p>
    <w:p w14:paraId="74D4FB93" w14:textId="46EE0CE3" w:rsidR="00F958E8" w:rsidRPr="00F86625" w:rsidRDefault="00F958E8" w:rsidP="00F86625">
      <w:pPr>
        <w:pStyle w:val="Heading1"/>
        <w:shd w:val="clear" w:color="auto" w:fill="404246"/>
        <w:rPr>
          <w:color w:val="FFFFFF" w:themeColor="background1"/>
          <w:lang w:eastAsia="en-AU"/>
        </w:rPr>
      </w:pPr>
      <w:bookmarkStart w:id="35" w:name="_Toc197608609"/>
      <w:r w:rsidRPr="00F86625">
        <w:rPr>
          <w:color w:val="FFFFFF" w:themeColor="background1"/>
          <w:lang w:eastAsia="en-AU"/>
        </w:rPr>
        <w:t xml:space="preserve">6.  Financial </w:t>
      </w:r>
      <w:r w:rsidR="001F19AD" w:rsidRPr="00F86625">
        <w:rPr>
          <w:color w:val="FFFFFF" w:themeColor="background1"/>
          <w:lang w:eastAsia="en-AU"/>
        </w:rPr>
        <w:t>e</w:t>
      </w:r>
      <w:r w:rsidRPr="00F86625">
        <w:rPr>
          <w:color w:val="FFFFFF" w:themeColor="background1"/>
          <w:lang w:eastAsia="en-AU"/>
        </w:rPr>
        <w:t>stimates</w:t>
      </w:r>
      <w:bookmarkEnd w:id="35"/>
      <w:r w:rsidR="00A32F2C" w:rsidRPr="00F86625">
        <w:rPr>
          <w:color w:val="FFFFFF" w:themeColor="background1"/>
          <w:lang w:eastAsia="en-AU"/>
        </w:rPr>
        <w:t xml:space="preserve"> </w:t>
      </w:r>
    </w:p>
    <w:p w14:paraId="7A0F5172" w14:textId="66C52EDF" w:rsidR="00F958E8" w:rsidRPr="00165D8C" w:rsidRDefault="00DF5E63" w:rsidP="0028250C">
      <w:pPr>
        <w:rPr>
          <w:rFonts w:ascii="Aptos" w:hAnsi="Aptos"/>
        </w:rPr>
      </w:pPr>
      <w:r w:rsidRPr="00165D8C">
        <w:rPr>
          <w:rFonts w:ascii="Aptos" w:hAnsi="Aptos"/>
        </w:rPr>
        <w:t xml:space="preserve">Financial performance for the </w:t>
      </w:r>
      <w:r w:rsidR="006B57DC" w:rsidRPr="00165D8C">
        <w:rPr>
          <w:rFonts w:ascii="Aptos" w:hAnsi="Aptos"/>
        </w:rPr>
        <w:t>Trades Recognition Australia</w:t>
      </w:r>
      <w:r w:rsidR="006B57DC" w:rsidRPr="00165D8C" w:rsidDel="006B57DC">
        <w:rPr>
          <w:rFonts w:ascii="Aptos" w:hAnsi="Aptos"/>
        </w:rPr>
        <w:t xml:space="preserve"> </w:t>
      </w:r>
      <w:r w:rsidRPr="00165D8C">
        <w:rPr>
          <w:rFonts w:ascii="Aptos" w:hAnsi="Aptos"/>
        </w:rPr>
        <w:t xml:space="preserve">charging arrangement for the assessment pathways is provided at </w:t>
      </w:r>
      <w:r w:rsidRPr="00397C30">
        <w:rPr>
          <w:rFonts w:ascii="Aptos" w:hAnsi="Aptos"/>
          <w:b/>
          <w:bCs/>
        </w:rPr>
        <w:t xml:space="preserve">Table </w:t>
      </w:r>
      <w:r w:rsidR="001F19AD" w:rsidRPr="00397C30">
        <w:rPr>
          <w:rFonts w:ascii="Aptos" w:hAnsi="Aptos"/>
          <w:b/>
          <w:bCs/>
        </w:rPr>
        <w:t>4</w:t>
      </w:r>
      <w:r w:rsidRPr="00165D8C">
        <w:rPr>
          <w:rFonts w:ascii="Aptos" w:hAnsi="Aptos"/>
        </w:rPr>
        <w:t xml:space="preserve"> below. The 202</w:t>
      </w:r>
      <w:r w:rsidR="009C0DF3" w:rsidRPr="00165D8C">
        <w:rPr>
          <w:rFonts w:ascii="Aptos" w:hAnsi="Aptos"/>
        </w:rPr>
        <w:t>3</w:t>
      </w:r>
      <w:r w:rsidRPr="00165D8C">
        <w:rPr>
          <w:rFonts w:ascii="Aptos" w:hAnsi="Aptos"/>
        </w:rPr>
        <w:t>-2</w:t>
      </w:r>
      <w:r w:rsidR="009C0DF3" w:rsidRPr="00165D8C">
        <w:rPr>
          <w:rFonts w:ascii="Aptos" w:hAnsi="Aptos"/>
        </w:rPr>
        <w:t>4</w:t>
      </w:r>
      <w:r w:rsidRPr="00165D8C">
        <w:rPr>
          <w:rFonts w:ascii="Aptos" w:hAnsi="Aptos"/>
        </w:rPr>
        <w:t xml:space="preserve"> financial year and forward years will be updated each year as financial information becomes available.</w:t>
      </w:r>
    </w:p>
    <w:p w14:paraId="28BE4E01" w14:textId="3E2D9B72" w:rsidR="00DF5E63" w:rsidRPr="00165D8C" w:rsidRDefault="00DF5E63" w:rsidP="0028250C">
      <w:pPr>
        <w:rPr>
          <w:rFonts w:ascii="Aptos" w:hAnsi="Aptos"/>
        </w:rPr>
      </w:pPr>
      <w:r w:rsidRPr="00165D8C">
        <w:rPr>
          <w:rFonts w:ascii="Aptos" w:hAnsi="Aptos"/>
        </w:rPr>
        <w:t xml:space="preserve">The key non-financial driver for applicant fees will be the number of registered applications. The applicant fee assumes demand will increase year on year, as outlined in </w:t>
      </w:r>
      <w:r w:rsidRPr="00165D8C">
        <w:rPr>
          <w:rFonts w:ascii="Aptos" w:hAnsi="Aptos"/>
          <w:b/>
          <w:bCs/>
        </w:rPr>
        <w:t>Table 4</w:t>
      </w:r>
      <w:r w:rsidRPr="00165D8C">
        <w:rPr>
          <w:rFonts w:ascii="Aptos" w:hAnsi="Aptos"/>
        </w:rPr>
        <w:t xml:space="preserve"> below. </w:t>
      </w:r>
    </w:p>
    <w:p w14:paraId="44FA64F3" w14:textId="37F3D5AD" w:rsidR="000909DF" w:rsidRPr="00165D8C" w:rsidRDefault="000909DF" w:rsidP="001F19AD">
      <w:pPr>
        <w:rPr>
          <w:rFonts w:ascii="Aptos" w:hAnsi="Aptos"/>
        </w:rPr>
      </w:pPr>
      <w:r w:rsidRPr="00165D8C">
        <w:rPr>
          <w:rFonts w:ascii="Aptos" w:hAnsi="Aptos"/>
        </w:rPr>
        <w:t xml:space="preserve">Demand estimates are based on analysis of the historical average percentage difference year on year and applying this into future years. </w:t>
      </w:r>
      <w:r w:rsidR="00B115B0" w:rsidRPr="00165D8C">
        <w:rPr>
          <w:rFonts w:ascii="Aptos" w:hAnsi="Aptos"/>
        </w:rPr>
        <w:t xml:space="preserve"> </w:t>
      </w:r>
      <w:r w:rsidR="00F11FA5" w:rsidRPr="00165D8C">
        <w:rPr>
          <w:rFonts w:ascii="Aptos" w:hAnsi="Aptos"/>
        </w:rPr>
        <w:t xml:space="preserve">It should be noted that the impact of COVID </w:t>
      </w:r>
      <w:r w:rsidR="00703789" w:rsidRPr="00165D8C">
        <w:rPr>
          <w:rFonts w:ascii="Aptos" w:hAnsi="Aptos"/>
        </w:rPr>
        <w:t xml:space="preserve">is not moderated </w:t>
      </w:r>
      <w:r w:rsidR="00BE4F8C" w:rsidRPr="00165D8C">
        <w:rPr>
          <w:rFonts w:ascii="Aptos" w:hAnsi="Aptos"/>
        </w:rPr>
        <w:t xml:space="preserve">due to the decreased </w:t>
      </w:r>
      <w:r w:rsidR="007E3CD6" w:rsidRPr="00165D8C">
        <w:rPr>
          <w:rFonts w:ascii="Aptos" w:hAnsi="Aptos"/>
        </w:rPr>
        <w:t xml:space="preserve">significance </w:t>
      </w:r>
      <w:r w:rsidR="00927694" w:rsidRPr="00165D8C">
        <w:rPr>
          <w:rFonts w:ascii="Aptos" w:hAnsi="Aptos"/>
        </w:rPr>
        <w:t>of impact</w:t>
      </w:r>
      <w:r w:rsidR="007E63E8" w:rsidRPr="00165D8C">
        <w:rPr>
          <w:rFonts w:ascii="Aptos" w:hAnsi="Aptos"/>
        </w:rPr>
        <w:t xml:space="preserve">. </w:t>
      </w:r>
      <w:r w:rsidR="00CD57CE" w:rsidRPr="00165D8C">
        <w:rPr>
          <w:rFonts w:ascii="Aptos" w:hAnsi="Aptos"/>
        </w:rPr>
        <w:t>Nevertheless</w:t>
      </w:r>
      <w:r w:rsidR="007E63E8" w:rsidRPr="00165D8C">
        <w:rPr>
          <w:rFonts w:ascii="Aptos" w:hAnsi="Aptos"/>
        </w:rPr>
        <w:t xml:space="preserve">, Trades Recognition Australia </w:t>
      </w:r>
      <w:r w:rsidR="00F026E6" w:rsidRPr="00165D8C">
        <w:rPr>
          <w:rFonts w:ascii="Aptos" w:hAnsi="Aptos"/>
        </w:rPr>
        <w:t xml:space="preserve">acknowledges </w:t>
      </w:r>
      <w:r w:rsidR="000B58FB" w:rsidRPr="00165D8C">
        <w:rPr>
          <w:rFonts w:ascii="Aptos" w:hAnsi="Aptos"/>
        </w:rPr>
        <w:t xml:space="preserve">the </w:t>
      </w:r>
      <w:r w:rsidR="007359C1" w:rsidRPr="00165D8C">
        <w:rPr>
          <w:rFonts w:ascii="Aptos" w:hAnsi="Aptos"/>
        </w:rPr>
        <w:t>current competitiven</w:t>
      </w:r>
      <w:r w:rsidR="0084024E" w:rsidRPr="00165D8C">
        <w:rPr>
          <w:rFonts w:ascii="Aptos" w:hAnsi="Aptos"/>
        </w:rPr>
        <w:t xml:space="preserve">ess </w:t>
      </w:r>
      <w:r w:rsidR="00A83CFD" w:rsidRPr="00165D8C">
        <w:rPr>
          <w:rFonts w:ascii="Aptos" w:hAnsi="Aptos"/>
        </w:rPr>
        <w:t xml:space="preserve">of the </w:t>
      </w:r>
      <w:r w:rsidR="00B56145" w:rsidRPr="00165D8C">
        <w:rPr>
          <w:rFonts w:ascii="Aptos" w:hAnsi="Aptos"/>
        </w:rPr>
        <w:t>international</w:t>
      </w:r>
      <w:r w:rsidR="00A83CFD" w:rsidRPr="00165D8C">
        <w:rPr>
          <w:rFonts w:ascii="Aptos" w:hAnsi="Aptos"/>
        </w:rPr>
        <w:t xml:space="preserve"> labour market </w:t>
      </w:r>
      <w:r w:rsidR="0059640D" w:rsidRPr="00165D8C">
        <w:rPr>
          <w:rFonts w:ascii="Aptos" w:hAnsi="Aptos"/>
        </w:rPr>
        <w:t xml:space="preserve">will require an increased </w:t>
      </w:r>
      <w:r w:rsidR="00CF3E19" w:rsidRPr="00165D8C">
        <w:rPr>
          <w:rFonts w:ascii="Aptos" w:hAnsi="Aptos"/>
        </w:rPr>
        <w:t>emphasis on skilled migration</w:t>
      </w:r>
      <w:r w:rsidR="00131DA0" w:rsidRPr="00165D8C">
        <w:rPr>
          <w:rFonts w:ascii="Aptos" w:hAnsi="Aptos"/>
        </w:rPr>
        <w:t xml:space="preserve"> to ensure a domestic labour</w:t>
      </w:r>
      <w:r w:rsidR="00D734A1" w:rsidRPr="00165D8C">
        <w:rPr>
          <w:rFonts w:ascii="Aptos" w:hAnsi="Aptos"/>
        </w:rPr>
        <w:t xml:space="preserve"> market</w:t>
      </w:r>
      <w:r w:rsidR="00131DA0" w:rsidRPr="00165D8C">
        <w:rPr>
          <w:rFonts w:ascii="Aptos" w:hAnsi="Aptos"/>
        </w:rPr>
        <w:t xml:space="preserve"> position</w:t>
      </w:r>
      <w:r w:rsidR="00D734A1" w:rsidRPr="00165D8C">
        <w:rPr>
          <w:rFonts w:ascii="Aptos" w:hAnsi="Aptos"/>
        </w:rPr>
        <w:t xml:space="preserve"> of low unemployment.</w:t>
      </w:r>
      <w:r w:rsidR="00131DA0" w:rsidRPr="00165D8C">
        <w:rPr>
          <w:rFonts w:ascii="Aptos" w:hAnsi="Aptos"/>
        </w:rPr>
        <w:t xml:space="preserve"> </w:t>
      </w:r>
    </w:p>
    <w:p w14:paraId="44C13C75" w14:textId="6FD07AE6" w:rsidR="001F19AD" w:rsidRPr="00165D8C" w:rsidRDefault="001F19AD" w:rsidP="001F19AD">
      <w:pPr>
        <w:rPr>
          <w:rFonts w:ascii="Aptos" w:hAnsi="Aptos"/>
        </w:rPr>
      </w:pPr>
      <w:r w:rsidRPr="00165D8C">
        <w:rPr>
          <w:rFonts w:ascii="Aptos" w:hAnsi="Aptos"/>
        </w:rPr>
        <w:t xml:space="preserve">A risk for </w:t>
      </w:r>
      <w:r w:rsidR="006B57DC" w:rsidRPr="00165D8C">
        <w:rPr>
          <w:rFonts w:ascii="Aptos" w:hAnsi="Aptos"/>
        </w:rPr>
        <w:t>Trades Recognition Australia</w:t>
      </w:r>
      <w:r w:rsidR="006B57DC" w:rsidRPr="00165D8C" w:rsidDel="006B57DC">
        <w:rPr>
          <w:rFonts w:ascii="Aptos" w:hAnsi="Aptos"/>
        </w:rPr>
        <w:t xml:space="preserve"> </w:t>
      </w:r>
      <w:r w:rsidRPr="00165D8C">
        <w:rPr>
          <w:rFonts w:ascii="Aptos" w:hAnsi="Aptos"/>
        </w:rPr>
        <w:t xml:space="preserve">is that if actual demand varies significantly from the forecast, the fees may over or under recover the delivery costs of the activity. This may occur due to external factors such as changes to global migration patterns, skilled migration reforms, and the unemployment rate, both in Australia and globally. </w:t>
      </w:r>
    </w:p>
    <w:p w14:paraId="57B02F1C" w14:textId="5BFAFA19" w:rsidR="00DF5E63" w:rsidRPr="00165D8C" w:rsidRDefault="00DF5E63" w:rsidP="0028250C">
      <w:pPr>
        <w:rPr>
          <w:rFonts w:ascii="Aptos" w:hAnsi="Aptos"/>
        </w:rPr>
      </w:pPr>
      <w:r w:rsidRPr="00165D8C">
        <w:rPr>
          <w:rFonts w:ascii="Aptos" w:hAnsi="Aptos"/>
        </w:rPr>
        <w:t xml:space="preserve">There is the potential for a significant variation from the estimated revenue. Therefore, as per the CRA, </w:t>
      </w:r>
      <w:r w:rsidR="006B57DC" w:rsidRPr="00165D8C">
        <w:rPr>
          <w:rFonts w:ascii="Aptos" w:hAnsi="Aptos"/>
        </w:rPr>
        <w:t>Trades Recognition Australia</w:t>
      </w:r>
      <w:r w:rsidR="006B57DC" w:rsidRPr="00165D8C" w:rsidDel="006B57DC">
        <w:rPr>
          <w:rFonts w:ascii="Aptos" w:hAnsi="Aptos"/>
        </w:rPr>
        <w:t xml:space="preserve"> </w:t>
      </w:r>
      <w:r w:rsidRPr="00165D8C">
        <w:rPr>
          <w:rFonts w:ascii="Aptos" w:hAnsi="Aptos"/>
        </w:rPr>
        <w:t xml:space="preserve">will accept up to and including a 20 per cent variation from the amount of applicant registrations for its assessment pathways. </w:t>
      </w:r>
    </w:p>
    <w:p w14:paraId="3D2D401A" w14:textId="41864920" w:rsidR="00AD18D4" w:rsidRPr="00165D8C" w:rsidRDefault="00DF5E63" w:rsidP="0028250C">
      <w:pPr>
        <w:rPr>
          <w:rFonts w:ascii="Aptos" w:hAnsi="Aptos"/>
        </w:rPr>
      </w:pPr>
      <w:r w:rsidRPr="00165D8C">
        <w:rPr>
          <w:rFonts w:ascii="Aptos" w:hAnsi="Aptos"/>
        </w:rPr>
        <w:t>Any variation greater than 20 per cent will prompt a review of the charging activities and any changes will be reflected in the subsequent financial year.</w:t>
      </w:r>
    </w:p>
    <w:p w14:paraId="6B287C84" w14:textId="612D4DD3" w:rsidR="00BF58B7" w:rsidRDefault="00DF5E63">
      <w:bookmarkStart w:id="36" w:name="_Toc197608610"/>
      <w:r w:rsidRPr="005314E1">
        <w:rPr>
          <w:rFonts w:ascii="Aptos" w:hAnsi="Aptos"/>
          <w:b/>
          <w:bCs/>
          <w:color w:val="7A9F4C"/>
          <w:sz w:val="20"/>
          <w:szCs w:val="20"/>
        </w:rPr>
        <w:t>Table</w:t>
      </w:r>
      <w:r w:rsidR="00A32F2C" w:rsidRPr="005314E1">
        <w:rPr>
          <w:rFonts w:ascii="Aptos" w:hAnsi="Aptos"/>
          <w:b/>
          <w:bCs/>
          <w:color w:val="7A9F4C"/>
          <w:sz w:val="20"/>
          <w:szCs w:val="20"/>
        </w:rPr>
        <w:t xml:space="preserve"> </w:t>
      </w:r>
      <w:r w:rsidR="001F19AD" w:rsidRPr="005314E1">
        <w:rPr>
          <w:rFonts w:ascii="Aptos" w:hAnsi="Aptos"/>
          <w:b/>
          <w:bCs/>
          <w:color w:val="7A9F4C"/>
          <w:sz w:val="20"/>
          <w:szCs w:val="20"/>
        </w:rPr>
        <w:t>4</w:t>
      </w:r>
      <w:r w:rsidRPr="005314E1">
        <w:rPr>
          <w:rFonts w:ascii="Aptos" w:hAnsi="Aptos"/>
          <w:b/>
          <w:bCs/>
          <w:color w:val="7A9F4C"/>
          <w:sz w:val="20"/>
          <w:szCs w:val="20"/>
        </w:rPr>
        <w:t xml:space="preserve">: </w:t>
      </w:r>
      <w:r w:rsidRPr="005314E1">
        <w:rPr>
          <w:rFonts w:ascii="Aptos" w:hAnsi="Aptos"/>
          <w:color w:val="7A9F4C"/>
          <w:sz w:val="20"/>
          <w:szCs w:val="20"/>
        </w:rPr>
        <w:t>Financial estimates 1 July 202</w:t>
      </w:r>
      <w:r w:rsidR="004149BF" w:rsidRPr="005314E1">
        <w:rPr>
          <w:rFonts w:ascii="Aptos" w:hAnsi="Aptos"/>
          <w:color w:val="7A9F4C"/>
          <w:sz w:val="20"/>
          <w:szCs w:val="20"/>
        </w:rPr>
        <w:t>3</w:t>
      </w:r>
      <w:r w:rsidRPr="005314E1">
        <w:rPr>
          <w:rFonts w:ascii="Aptos" w:hAnsi="Aptos"/>
          <w:color w:val="7A9F4C"/>
          <w:sz w:val="20"/>
          <w:szCs w:val="20"/>
        </w:rPr>
        <w:t xml:space="preserve"> – 30 June 202</w:t>
      </w:r>
      <w:r w:rsidR="004149BF" w:rsidRPr="005314E1">
        <w:rPr>
          <w:rFonts w:ascii="Aptos" w:hAnsi="Aptos"/>
          <w:color w:val="7A9F4C"/>
          <w:sz w:val="20"/>
          <w:szCs w:val="20"/>
        </w:rPr>
        <w:t>7</w:t>
      </w:r>
      <w:bookmarkEnd w:id="36"/>
    </w:p>
    <w:p w14:paraId="0050DE23" w14:textId="407ADAFA" w:rsidR="00644CE9" w:rsidRPr="007B639D" w:rsidRDefault="00DB7C2C" w:rsidP="007B639D">
      <w:pPr>
        <w:sectPr w:rsidR="00644CE9" w:rsidRPr="007B639D">
          <w:pgSz w:w="11906" w:h="16838"/>
          <w:pgMar w:top="1440" w:right="1440" w:bottom="1440" w:left="1440" w:header="708" w:footer="708" w:gutter="0"/>
          <w:cols w:space="708"/>
          <w:docGrid w:linePitch="360"/>
        </w:sectPr>
      </w:pPr>
      <w:r w:rsidRPr="00DB7C2C">
        <w:rPr>
          <w:noProof/>
        </w:rPr>
        <w:drawing>
          <wp:inline distT="0" distB="0" distL="0" distR="0" wp14:anchorId="442F898E" wp14:editId="11468555">
            <wp:extent cx="5927090" cy="1638388"/>
            <wp:effectExtent l="0" t="0" r="0" b="0"/>
            <wp:docPr id="1340605485"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05485" name="Picture 1" descr="A screenshot of a spreadsheet&#10;&#10;AI-generated content may be incorrect."/>
                    <pic:cNvPicPr/>
                  </pic:nvPicPr>
                  <pic:blipFill>
                    <a:blip r:embed="rId18"/>
                    <a:stretch>
                      <a:fillRect/>
                    </a:stretch>
                  </pic:blipFill>
                  <pic:spPr>
                    <a:xfrm>
                      <a:off x="0" y="0"/>
                      <a:ext cx="5932387" cy="1639852"/>
                    </a:xfrm>
                    <a:prstGeom prst="rect">
                      <a:avLst/>
                    </a:prstGeom>
                  </pic:spPr>
                </pic:pic>
              </a:graphicData>
            </a:graphic>
          </wp:inline>
        </w:drawing>
      </w:r>
    </w:p>
    <w:p w14:paraId="3BAA535C" w14:textId="04DC47EC" w:rsidR="001F19AD" w:rsidRPr="00F86625" w:rsidRDefault="001F19AD" w:rsidP="00F86625">
      <w:pPr>
        <w:pStyle w:val="Heading1"/>
        <w:shd w:val="clear" w:color="auto" w:fill="404246"/>
        <w:rPr>
          <w:color w:val="FFFFFF" w:themeColor="background1"/>
          <w:lang w:eastAsia="en-AU"/>
        </w:rPr>
      </w:pPr>
      <w:bookmarkStart w:id="37" w:name="_Toc197608611"/>
      <w:bookmarkStart w:id="38" w:name="_Hlk111125295"/>
      <w:r w:rsidRPr="00F86625">
        <w:rPr>
          <w:color w:val="FFFFFF" w:themeColor="background1"/>
          <w:lang w:eastAsia="en-AU"/>
        </w:rPr>
        <w:lastRenderedPageBreak/>
        <w:t>7a.  Financial performance</w:t>
      </w:r>
      <w:bookmarkEnd w:id="37"/>
    </w:p>
    <w:p w14:paraId="7B9809E5" w14:textId="1B3809FC" w:rsidR="001F19AD" w:rsidRPr="00165D8C" w:rsidRDefault="00BC752E" w:rsidP="0028250C">
      <w:pPr>
        <w:rPr>
          <w:rFonts w:ascii="Aptos" w:hAnsi="Aptos"/>
        </w:rPr>
      </w:pPr>
      <w:r w:rsidRPr="00165D8C">
        <w:rPr>
          <w:rFonts w:ascii="Aptos" w:hAnsi="Aptos"/>
        </w:rPr>
        <w:t xml:space="preserve">The </w:t>
      </w:r>
      <w:r w:rsidR="00397C30">
        <w:rPr>
          <w:rFonts w:ascii="Aptos" w:hAnsi="Aptos"/>
        </w:rPr>
        <w:t>six</w:t>
      </w:r>
      <w:r w:rsidRPr="00165D8C">
        <w:rPr>
          <w:rFonts w:ascii="Aptos" w:hAnsi="Aptos"/>
        </w:rPr>
        <w:t xml:space="preserve"> assessment pathways that make up the </w:t>
      </w:r>
      <w:r w:rsidR="006B57DC" w:rsidRPr="00165D8C">
        <w:rPr>
          <w:rFonts w:ascii="Aptos" w:hAnsi="Aptos"/>
        </w:rPr>
        <w:t xml:space="preserve">Trades Recognition Australia </w:t>
      </w:r>
      <w:r w:rsidRPr="00165D8C">
        <w:rPr>
          <w:rFonts w:ascii="Aptos" w:hAnsi="Aptos"/>
        </w:rPr>
        <w:t xml:space="preserve">skilled assessment programs operate on a fee-for-service basis with applicants directly paying for their skills assessment. </w:t>
      </w:r>
      <w:r w:rsidR="000B6631" w:rsidRPr="00165D8C">
        <w:rPr>
          <w:rFonts w:ascii="Aptos" w:hAnsi="Aptos"/>
        </w:rPr>
        <w:t xml:space="preserve">The </w:t>
      </w:r>
      <w:r w:rsidR="00497B58">
        <w:rPr>
          <w:rFonts w:ascii="Aptos" w:hAnsi="Aptos"/>
        </w:rPr>
        <w:t>six</w:t>
      </w:r>
      <w:r w:rsidR="000B6631" w:rsidRPr="00165D8C">
        <w:rPr>
          <w:rFonts w:ascii="Aptos" w:hAnsi="Aptos"/>
        </w:rPr>
        <w:t xml:space="preserve"> programs commenced operating cost recovery at different </w:t>
      </w:r>
      <w:r w:rsidR="00F66C61" w:rsidRPr="00165D8C">
        <w:rPr>
          <w:rFonts w:ascii="Aptos" w:hAnsi="Aptos"/>
        </w:rPr>
        <w:t>dates</w:t>
      </w:r>
      <w:r w:rsidR="000B6631" w:rsidRPr="00165D8C">
        <w:rPr>
          <w:rFonts w:ascii="Aptos" w:hAnsi="Aptos"/>
        </w:rPr>
        <w:t>, including some with partial government subsidisation</w:t>
      </w:r>
      <w:r w:rsidR="001D40BD" w:rsidRPr="00165D8C">
        <w:rPr>
          <w:rFonts w:ascii="Aptos" w:hAnsi="Aptos"/>
        </w:rPr>
        <w:t>.</w:t>
      </w:r>
    </w:p>
    <w:p w14:paraId="7C198BC9" w14:textId="726A36C4" w:rsidR="00DE76AD" w:rsidRPr="00165D8C" w:rsidRDefault="00DE76AD" w:rsidP="0028250C">
      <w:pPr>
        <w:rPr>
          <w:rFonts w:ascii="Aptos" w:hAnsi="Aptos"/>
        </w:rPr>
      </w:pPr>
      <w:r w:rsidRPr="00165D8C">
        <w:rPr>
          <w:rFonts w:ascii="Aptos" w:hAnsi="Aptos"/>
        </w:rPr>
        <w:t xml:space="preserve">Trades Recognition Australia utilises a combination of administered and departmental funding streams. Administered funding is for payment of </w:t>
      </w:r>
      <w:r w:rsidR="00F66C61" w:rsidRPr="00165D8C">
        <w:rPr>
          <w:rFonts w:ascii="Aptos" w:hAnsi="Aptos"/>
        </w:rPr>
        <w:t xml:space="preserve">contracted technical and practical </w:t>
      </w:r>
      <w:r w:rsidRPr="00165D8C">
        <w:rPr>
          <w:rFonts w:ascii="Aptos" w:hAnsi="Aptos"/>
        </w:rPr>
        <w:t>assessments through Registered Training Organisations, and departmental funding for internal staffing and related costs.</w:t>
      </w:r>
    </w:p>
    <w:p w14:paraId="78A1D8BF" w14:textId="173C0491" w:rsidR="00212721" w:rsidRPr="00165D8C" w:rsidRDefault="00212721" w:rsidP="0028250C">
      <w:pPr>
        <w:rPr>
          <w:rFonts w:ascii="Aptos" w:hAnsi="Aptos"/>
        </w:rPr>
      </w:pPr>
      <w:r w:rsidRPr="008A0ACF">
        <w:rPr>
          <w:rFonts w:ascii="Aptos" w:hAnsi="Aptos"/>
        </w:rPr>
        <w:t xml:space="preserve">Due to the different periods of commencing cost recovery, including part way through the </w:t>
      </w:r>
      <w:r w:rsidR="00397C30">
        <w:rPr>
          <w:rFonts w:ascii="Aptos" w:hAnsi="Aptos"/>
        </w:rPr>
        <w:br/>
      </w:r>
      <w:r w:rsidRPr="008A0ACF">
        <w:rPr>
          <w:rFonts w:ascii="Aptos" w:hAnsi="Aptos"/>
        </w:rPr>
        <w:t>2021-22 financial year, historical financial performance data is not available. Trades Recognition Australia will release this information annually for financial year 2022-23 onwards.</w:t>
      </w:r>
    </w:p>
    <w:p w14:paraId="4BB97F6B" w14:textId="512CA3E4" w:rsidR="00BC752E" w:rsidRPr="00F86625" w:rsidRDefault="00BC752E" w:rsidP="00F86625">
      <w:pPr>
        <w:pStyle w:val="Heading1"/>
        <w:shd w:val="clear" w:color="auto" w:fill="404246"/>
        <w:rPr>
          <w:color w:val="FFFFFF" w:themeColor="background1"/>
          <w:lang w:eastAsia="en-AU"/>
        </w:rPr>
      </w:pPr>
      <w:bookmarkStart w:id="39" w:name="_Toc197608612"/>
      <w:bookmarkEnd w:id="38"/>
      <w:r w:rsidRPr="00F86625">
        <w:rPr>
          <w:color w:val="FFFFFF" w:themeColor="background1"/>
          <w:lang w:eastAsia="en-AU"/>
        </w:rPr>
        <w:t>7</w:t>
      </w:r>
      <w:r w:rsidR="00E631D8" w:rsidRPr="00F86625">
        <w:rPr>
          <w:color w:val="FFFFFF" w:themeColor="background1"/>
          <w:lang w:eastAsia="en-AU"/>
        </w:rPr>
        <w:t>b</w:t>
      </w:r>
      <w:r w:rsidRPr="00F86625">
        <w:rPr>
          <w:color w:val="FFFFFF" w:themeColor="background1"/>
          <w:lang w:eastAsia="en-AU"/>
        </w:rPr>
        <w:t>.  Non-financial performance</w:t>
      </w:r>
      <w:bookmarkEnd w:id="39"/>
    </w:p>
    <w:p w14:paraId="74F92482" w14:textId="1994B401" w:rsidR="00BC752E" w:rsidRPr="00165D8C" w:rsidRDefault="00BC752E" w:rsidP="00BC752E">
      <w:pPr>
        <w:rPr>
          <w:rFonts w:ascii="Aptos" w:hAnsi="Aptos"/>
        </w:rPr>
      </w:pPr>
      <w:r w:rsidRPr="00165D8C">
        <w:rPr>
          <w:rFonts w:ascii="Aptos" w:hAnsi="Aptos"/>
        </w:rPr>
        <w:t xml:space="preserve">The key non-financial driver for the </w:t>
      </w:r>
      <w:r w:rsidR="006B57DC" w:rsidRPr="00165D8C">
        <w:rPr>
          <w:rFonts w:ascii="Aptos" w:hAnsi="Aptos"/>
        </w:rPr>
        <w:t xml:space="preserve">Trades Recognition Australia </w:t>
      </w:r>
      <w:r w:rsidRPr="00165D8C">
        <w:rPr>
          <w:rFonts w:ascii="Aptos" w:hAnsi="Aptos"/>
        </w:rPr>
        <w:t>CRIS is the number of registered applications across each of the assessment pathways. These will be monitored on a monthly basis and compared to the financial data for that month.</w:t>
      </w:r>
    </w:p>
    <w:p w14:paraId="4BF6266D" w14:textId="77777777" w:rsidR="000651C1" w:rsidRPr="00165D8C" w:rsidRDefault="000651C1" w:rsidP="000651C1">
      <w:pPr>
        <w:rPr>
          <w:rFonts w:ascii="Aptos" w:hAnsi="Aptos"/>
        </w:rPr>
      </w:pPr>
      <w:r w:rsidRPr="00165D8C">
        <w:rPr>
          <w:rFonts w:ascii="Aptos" w:hAnsi="Aptos"/>
        </w:rPr>
        <w:t xml:space="preserve">Demand estimates are based on analysis of the historical average percentage difference year on year and applying this into future years.  It should be noted that the impact of COVID is not moderated due to the decreased significance of impact. Nevertheless, Trades Recognition Australia acknowledges the current competitiveness of the international labour market will require an increased emphasis on skilled migration to ensure a domestic labour market position of low unemployment. </w:t>
      </w:r>
    </w:p>
    <w:p w14:paraId="3A2284DA" w14:textId="7DB65719" w:rsidR="00BC752E" w:rsidRPr="00165D8C" w:rsidRDefault="00BC752E" w:rsidP="00BC752E">
      <w:pPr>
        <w:rPr>
          <w:rFonts w:ascii="Aptos" w:hAnsi="Aptos"/>
        </w:rPr>
      </w:pPr>
      <w:r w:rsidRPr="00165D8C">
        <w:rPr>
          <w:rFonts w:ascii="Aptos" w:hAnsi="Aptos"/>
        </w:rPr>
        <w:t xml:space="preserve">The estimated registration in </w:t>
      </w:r>
      <w:r w:rsidRPr="00165D8C">
        <w:rPr>
          <w:rFonts w:ascii="Aptos" w:hAnsi="Aptos"/>
          <w:b/>
          <w:bCs/>
        </w:rPr>
        <w:t xml:space="preserve">Table </w:t>
      </w:r>
      <w:r w:rsidR="00212721" w:rsidRPr="00165D8C">
        <w:rPr>
          <w:rFonts w:ascii="Aptos" w:hAnsi="Aptos"/>
          <w:b/>
          <w:bCs/>
        </w:rPr>
        <w:t>5</w:t>
      </w:r>
      <w:r w:rsidRPr="00165D8C">
        <w:rPr>
          <w:rFonts w:ascii="Aptos" w:hAnsi="Aptos"/>
        </w:rPr>
        <w:t xml:space="preserve"> </w:t>
      </w:r>
      <w:r w:rsidR="00DF4AAE" w:rsidRPr="00165D8C">
        <w:rPr>
          <w:rFonts w:ascii="Aptos" w:hAnsi="Aptos"/>
        </w:rPr>
        <w:t>will</w:t>
      </w:r>
      <w:r w:rsidRPr="00165D8C">
        <w:rPr>
          <w:rFonts w:ascii="Aptos" w:hAnsi="Aptos"/>
        </w:rPr>
        <w:t xml:space="preserve"> drive the estimated revenue</w:t>
      </w:r>
      <w:r w:rsidR="00DF4AAE" w:rsidRPr="00165D8C">
        <w:rPr>
          <w:rFonts w:ascii="Aptos" w:hAnsi="Aptos"/>
        </w:rPr>
        <w:t>. T</w:t>
      </w:r>
      <w:r w:rsidRPr="00165D8C">
        <w:rPr>
          <w:rFonts w:ascii="Aptos" w:hAnsi="Aptos"/>
        </w:rPr>
        <w:t>herefore</w:t>
      </w:r>
      <w:r w:rsidR="00DF4AAE" w:rsidRPr="00165D8C">
        <w:rPr>
          <w:rFonts w:ascii="Aptos" w:hAnsi="Aptos"/>
        </w:rPr>
        <w:t>,</w:t>
      </w:r>
      <w:r w:rsidRPr="00165D8C">
        <w:rPr>
          <w:rFonts w:ascii="Aptos" w:hAnsi="Aptos"/>
        </w:rPr>
        <w:t xml:space="preserve"> up to and including a </w:t>
      </w:r>
      <w:r w:rsidR="00397C30" w:rsidRPr="00397C30">
        <w:rPr>
          <w:rFonts w:ascii="Aptos" w:hAnsi="Aptos"/>
        </w:rPr>
        <w:t>20 per cent</w:t>
      </w:r>
      <w:r w:rsidR="008D1DC5">
        <w:rPr>
          <w:rFonts w:ascii="Aptos" w:hAnsi="Aptos"/>
        </w:rPr>
        <w:t xml:space="preserve"> variation</w:t>
      </w:r>
      <w:r w:rsidR="00397C30" w:rsidRPr="00397C30">
        <w:rPr>
          <w:rFonts w:ascii="Aptos" w:hAnsi="Aptos"/>
        </w:rPr>
        <w:t xml:space="preserve"> in the first year, 15 per cent in the first two years or ten per cent in the first three years </w:t>
      </w:r>
      <w:r w:rsidRPr="00165D8C">
        <w:rPr>
          <w:rFonts w:ascii="Aptos" w:hAnsi="Aptos"/>
        </w:rPr>
        <w:t xml:space="preserve">from the amount of applicant registrations for each assessment pathway. Any variation </w:t>
      </w:r>
      <w:r w:rsidR="00397C30">
        <w:rPr>
          <w:rFonts w:ascii="Aptos" w:hAnsi="Aptos"/>
        </w:rPr>
        <w:t>outside these thresholds</w:t>
      </w:r>
      <w:r w:rsidRPr="00165D8C">
        <w:rPr>
          <w:rFonts w:ascii="Aptos" w:hAnsi="Aptos"/>
        </w:rPr>
        <w:t xml:space="preserve"> will trigger a review of the charging activities and any changes will be reflected in a subsequent CRIS.</w:t>
      </w:r>
    </w:p>
    <w:p w14:paraId="470454F4" w14:textId="77777777" w:rsidR="00E631D8" w:rsidRPr="00165D8C" w:rsidRDefault="00E631D8" w:rsidP="00BC752E">
      <w:pPr>
        <w:rPr>
          <w:rFonts w:ascii="Aptos" w:hAnsi="Aptos"/>
        </w:rPr>
      </w:pPr>
    </w:p>
    <w:p w14:paraId="571FD43F" w14:textId="77777777" w:rsidR="00BC752E" w:rsidRPr="00165D8C" w:rsidRDefault="00BC752E" w:rsidP="0028250C">
      <w:pPr>
        <w:rPr>
          <w:rFonts w:ascii="Aptos" w:hAnsi="Aptos"/>
        </w:rPr>
      </w:pPr>
    </w:p>
    <w:p w14:paraId="07D87C09" w14:textId="23EEFA07" w:rsidR="001F19AD" w:rsidRPr="00165D8C" w:rsidRDefault="001F19AD" w:rsidP="0028250C">
      <w:pPr>
        <w:rPr>
          <w:rFonts w:ascii="Aptos" w:hAnsi="Aptos"/>
        </w:rPr>
        <w:sectPr w:rsidR="001F19AD" w:rsidRPr="00165D8C">
          <w:pgSz w:w="11906" w:h="16838"/>
          <w:pgMar w:top="1440" w:right="1440" w:bottom="1440" w:left="1440" w:header="708" w:footer="708" w:gutter="0"/>
          <w:cols w:space="708"/>
          <w:docGrid w:linePitch="360"/>
        </w:sectPr>
      </w:pPr>
    </w:p>
    <w:p w14:paraId="5EACD610" w14:textId="7584E5F1" w:rsidR="00A32F2C" w:rsidRPr="005314E1" w:rsidRDefault="00A32F2C" w:rsidP="00212346">
      <w:pPr>
        <w:pStyle w:val="Heading4"/>
        <w:rPr>
          <w:rFonts w:ascii="Aptos" w:hAnsi="Aptos"/>
          <w:b/>
          <w:bCs/>
          <w:color w:val="7A9F4C"/>
          <w:sz w:val="20"/>
          <w:szCs w:val="20"/>
        </w:rPr>
      </w:pPr>
      <w:bookmarkStart w:id="40" w:name="_Toc197608613"/>
      <w:bookmarkStart w:id="41" w:name="_Hlk111536459"/>
      <w:r w:rsidRPr="005314E1">
        <w:rPr>
          <w:rFonts w:ascii="Aptos" w:hAnsi="Aptos"/>
          <w:b/>
          <w:bCs/>
          <w:color w:val="7A9F4C"/>
          <w:sz w:val="20"/>
          <w:szCs w:val="20"/>
        </w:rPr>
        <w:lastRenderedPageBreak/>
        <w:t>Table</w:t>
      </w:r>
      <w:r w:rsidR="00C473AD" w:rsidRPr="005314E1">
        <w:rPr>
          <w:rFonts w:ascii="Aptos" w:hAnsi="Aptos"/>
          <w:b/>
          <w:bCs/>
          <w:color w:val="7A9F4C"/>
          <w:sz w:val="20"/>
          <w:szCs w:val="20"/>
        </w:rPr>
        <w:t xml:space="preserve"> </w:t>
      </w:r>
      <w:r w:rsidR="00212721" w:rsidRPr="005314E1">
        <w:rPr>
          <w:rFonts w:ascii="Aptos" w:hAnsi="Aptos"/>
          <w:b/>
          <w:bCs/>
          <w:color w:val="7A9F4C"/>
          <w:sz w:val="20"/>
          <w:szCs w:val="20"/>
        </w:rPr>
        <w:t>5</w:t>
      </w:r>
      <w:r w:rsidRPr="005314E1">
        <w:rPr>
          <w:rFonts w:ascii="Aptos" w:hAnsi="Aptos"/>
          <w:b/>
          <w:bCs/>
          <w:color w:val="7A9F4C"/>
          <w:sz w:val="20"/>
          <w:szCs w:val="20"/>
        </w:rPr>
        <w:t xml:space="preserve">: </w:t>
      </w:r>
      <w:r w:rsidRPr="005314E1">
        <w:rPr>
          <w:rFonts w:ascii="Aptos" w:hAnsi="Aptos"/>
          <w:b/>
          <w:bCs/>
          <w:i w:val="0"/>
          <w:iCs w:val="0"/>
          <w:color w:val="7A9F4C"/>
          <w:sz w:val="20"/>
          <w:szCs w:val="20"/>
        </w:rPr>
        <w:t>Historical and forecast volume actuals and estimates</w:t>
      </w:r>
      <w:bookmarkEnd w:id="40"/>
    </w:p>
    <w:bookmarkEnd w:id="41"/>
    <w:p w14:paraId="0F07B0D2" w14:textId="4152BB60" w:rsidR="00AA799B" w:rsidRPr="00165D8C" w:rsidRDefault="00AA799B" w:rsidP="00AA799B">
      <w:pPr>
        <w:rPr>
          <w:rFonts w:ascii="Aptos" w:hAnsi="Aptos"/>
          <w:i/>
          <w:iCs/>
          <w:lang w:eastAsia="en-AU"/>
        </w:rPr>
      </w:pPr>
      <w:r w:rsidRPr="00165D8C">
        <w:rPr>
          <w:rFonts w:ascii="Aptos" w:hAnsi="Aptos"/>
          <w:i/>
          <w:iCs/>
          <w:lang w:eastAsia="en-AU"/>
        </w:rPr>
        <w:t>Demand estimates for 202</w:t>
      </w:r>
      <w:r w:rsidR="00185438" w:rsidRPr="00165D8C">
        <w:rPr>
          <w:rFonts w:ascii="Aptos" w:hAnsi="Aptos"/>
          <w:i/>
          <w:iCs/>
          <w:lang w:eastAsia="en-AU"/>
        </w:rPr>
        <w:t>3</w:t>
      </w:r>
      <w:r w:rsidRPr="00165D8C">
        <w:rPr>
          <w:rFonts w:ascii="Aptos" w:hAnsi="Aptos"/>
          <w:i/>
          <w:iCs/>
          <w:lang w:eastAsia="en-AU"/>
        </w:rPr>
        <w:t>-2</w:t>
      </w:r>
      <w:r w:rsidR="00185438" w:rsidRPr="00165D8C">
        <w:rPr>
          <w:rFonts w:ascii="Aptos" w:hAnsi="Aptos"/>
          <w:i/>
          <w:iCs/>
          <w:lang w:eastAsia="en-AU"/>
        </w:rPr>
        <w:t>4</w:t>
      </w:r>
      <w:r w:rsidRPr="00165D8C">
        <w:rPr>
          <w:rFonts w:ascii="Aptos" w:hAnsi="Aptos"/>
          <w:i/>
          <w:iCs/>
          <w:lang w:eastAsia="en-AU"/>
        </w:rPr>
        <w:t xml:space="preserve"> onwards are based on historical program growth averages with allowance for current policy settings relating to skilled migration and domestic labour market demand. </w:t>
      </w:r>
    </w:p>
    <w:p w14:paraId="70D3879D" w14:textId="6B4D3597" w:rsidR="00185438" w:rsidRPr="00165D8C" w:rsidRDefault="00400B73" w:rsidP="00AA799B">
      <w:pPr>
        <w:rPr>
          <w:rFonts w:ascii="Aptos" w:hAnsi="Aptos"/>
          <w:i/>
          <w:iCs/>
          <w:lang w:eastAsia="en-AU"/>
        </w:rPr>
      </w:pPr>
      <w:r w:rsidRPr="00400B73">
        <w:rPr>
          <w:rFonts w:ascii="Aptos" w:hAnsi="Aptos"/>
          <w:i/>
          <w:iCs/>
          <w:noProof/>
          <w:lang w:eastAsia="en-AU"/>
        </w:rPr>
        <w:drawing>
          <wp:inline distT="0" distB="0" distL="0" distR="0" wp14:anchorId="655D03DB" wp14:editId="27E30718">
            <wp:extent cx="9059477" cy="3648974"/>
            <wp:effectExtent l="0" t="0" r="8890" b="8890"/>
            <wp:docPr id="1092509942"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09942" name="Picture 1" descr="A table with numbers and letters&#10;&#10;Description automatically generated"/>
                    <pic:cNvPicPr/>
                  </pic:nvPicPr>
                  <pic:blipFill>
                    <a:blip r:embed="rId19"/>
                    <a:stretch>
                      <a:fillRect/>
                    </a:stretch>
                  </pic:blipFill>
                  <pic:spPr>
                    <a:xfrm>
                      <a:off x="0" y="0"/>
                      <a:ext cx="9072458" cy="3654202"/>
                    </a:xfrm>
                    <a:prstGeom prst="rect">
                      <a:avLst/>
                    </a:prstGeom>
                  </pic:spPr>
                </pic:pic>
              </a:graphicData>
            </a:graphic>
          </wp:inline>
        </w:drawing>
      </w:r>
    </w:p>
    <w:p w14:paraId="2BD20322" w14:textId="15C8BB13" w:rsidR="00A32F2C" w:rsidRPr="00165D8C" w:rsidRDefault="00F902F6" w:rsidP="000570F3">
      <w:pPr>
        <w:rPr>
          <w:rFonts w:ascii="Aptos" w:hAnsi="Aptos"/>
          <w:sz w:val="18"/>
          <w:szCs w:val="18"/>
        </w:rPr>
      </w:pPr>
      <w:r w:rsidRPr="00165D8C">
        <w:rPr>
          <w:rFonts w:ascii="Aptos" w:hAnsi="Aptos"/>
          <w:sz w:val="18"/>
          <w:szCs w:val="18"/>
        </w:rPr>
        <w:t xml:space="preserve">*Home Affairs removal of skills assessment requirements for 485 visa holders for the 2022-23 financial year </w:t>
      </w:r>
      <w:r w:rsidR="009C39F0" w:rsidRPr="00165D8C">
        <w:rPr>
          <w:rFonts w:ascii="Aptos" w:hAnsi="Aptos"/>
          <w:sz w:val="18"/>
          <w:szCs w:val="18"/>
        </w:rPr>
        <w:t xml:space="preserve">and reinstated the requirement in 2023-24. </w:t>
      </w:r>
      <w:r w:rsidRPr="00165D8C">
        <w:rPr>
          <w:rFonts w:ascii="Aptos" w:hAnsi="Aptos"/>
          <w:sz w:val="18"/>
          <w:szCs w:val="18"/>
        </w:rPr>
        <w:t xml:space="preserve"> </w:t>
      </w:r>
    </w:p>
    <w:p w14:paraId="175E2752" w14:textId="77777777" w:rsidR="00F958E8" w:rsidRPr="00165D8C" w:rsidRDefault="00F958E8" w:rsidP="0028250C">
      <w:pPr>
        <w:rPr>
          <w:rFonts w:ascii="Aptos" w:hAnsi="Aptos"/>
          <w:sz w:val="18"/>
          <w:szCs w:val="18"/>
        </w:rPr>
        <w:sectPr w:rsidR="00F958E8" w:rsidRPr="00165D8C" w:rsidSect="00DF5E63">
          <w:pgSz w:w="16838" w:h="11906" w:orient="landscape"/>
          <w:pgMar w:top="1440" w:right="1440" w:bottom="1440" w:left="1440" w:header="708" w:footer="708" w:gutter="0"/>
          <w:cols w:space="708"/>
          <w:docGrid w:linePitch="360"/>
        </w:sectPr>
      </w:pPr>
    </w:p>
    <w:p w14:paraId="43FDDED3" w14:textId="5557384B" w:rsidR="00F958E8" w:rsidRPr="005314E1" w:rsidRDefault="0074293C" w:rsidP="0074293C">
      <w:pPr>
        <w:pStyle w:val="Heading1"/>
        <w:shd w:val="clear" w:color="auto" w:fill="404246"/>
        <w:rPr>
          <w:color w:val="FFFFFF" w:themeColor="background1"/>
          <w:lang w:eastAsia="en-AU"/>
        </w:rPr>
      </w:pPr>
      <w:bookmarkStart w:id="42" w:name="_Toc197608614"/>
      <w:r>
        <w:rPr>
          <w:color w:val="FFFFFF" w:themeColor="background1"/>
          <w:lang w:eastAsia="en-AU"/>
        </w:rPr>
        <w:lastRenderedPageBreak/>
        <w:t xml:space="preserve">8. </w:t>
      </w:r>
      <w:r w:rsidR="00F958E8" w:rsidRPr="005314E1">
        <w:rPr>
          <w:color w:val="FFFFFF" w:themeColor="background1"/>
          <w:lang w:eastAsia="en-AU"/>
        </w:rPr>
        <w:t>Key forward dates and events</w:t>
      </w:r>
      <w:bookmarkEnd w:id="42"/>
    </w:p>
    <w:p w14:paraId="1C0C9233" w14:textId="77777777" w:rsidR="0074293C" w:rsidRPr="005314E1" w:rsidRDefault="0074293C" w:rsidP="005314E1"/>
    <w:tbl>
      <w:tblPr>
        <w:tblStyle w:val="ListTable4-Accent6"/>
        <w:tblW w:w="0" w:type="auto"/>
        <w:tblLook w:val="04A0" w:firstRow="1" w:lastRow="0" w:firstColumn="1" w:lastColumn="0" w:noHBand="0" w:noVBand="1"/>
      </w:tblPr>
      <w:tblGrid>
        <w:gridCol w:w="4194"/>
        <w:gridCol w:w="4772"/>
      </w:tblGrid>
      <w:tr w:rsidR="00034493" w:rsidRPr="00165D8C" w14:paraId="13F6C8A4" w14:textId="77777777" w:rsidTr="007B639D">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0" w:type="dxa"/>
            <w:shd w:val="clear" w:color="auto" w:fill="7A9F4C"/>
            <w:vAlign w:val="center"/>
          </w:tcPr>
          <w:p w14:paraId="7ACC3500" w14:textId="437048AC" w:rsidR="0074293C" w:rsidRPr="005314E1" w:rsidRDefault="0016169D" w:rsidP="009A6632">
            <w:pPr>
              <w:rPr>
                <w:rFonts w:ascii="Aptos" w:hAnsi="Aptos"/>
                <w:b w:val="0"/>
                <w:bCs w:val="0"/>
              </w:rPr>
            </w:pPr>
            <w:r>
              <w:rPr>
                <w:rFonts w:ascii="Aptos" w:hAnsi="Aptos"/>
              </w:rPr>
              <w:t>Date</w:t>
            </w:r>
          </w:p>
        </w:tc>
        <w:tc>
          <w:tcPr>
            <w:tcW w:w="0" w:type="dxa"/>
            <w:shd w:val="clear" w:color="auto" w:fill="7A9F4C"/>
            <w:vAlign w:val="center"/>
          </w:tcPr>
          <w:p w14:paraId="071A3884" w14:textId="6C48F08D" w:rsidR="00034493" w:rsidRPr="00165D8C" w:rsidRDefault="00034493" w:rsidP="009A6632">
            <w:pPr>
              <w:cnfStyle w:val="100000000000" w:firstRow="1" w:lastRow="0" w:firstColumn="0" w:lastColumn="0" w:oddVBand="0" w:evenVBand="0" w:oddHBand="0" w:evenHBand="0" w:firstRowFirstColumn="0" w:firstRowLastColumn="0" w:lastRowFirstColumn="0" w:lastRowLastColumn="0"/>
              <w:rPr>
                <w:rFonts w:ascii="Aptos" w:hAnsi="Aptos"/>
              </w:rPr>
            </w:pPr>
            <w:r w:rsidRPr="00165D8C">
              <w:rPr>
                <w:rFonts w:ascii="Aptos" w:hAnsi="Aptos"/>
              </w:rPr>
              <w:t>Event</w:t>
            </w:r>
          </w:p>
        </w:tc>
      </w:tr>
      <w:tr w:rsidR="0074293C" w:rsidRPr="00165D8C" w14:paraId="4EBF0EB4" w14:textId="77777777" w:rsidTr="000C4AF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194" w:type="dxa"/>
            <w:vAlign w:val="center"/>
          </w:tcPr>
          <w:p w14:paraId="3C96E011" w14:textId="6A5FFFB2" w:rsidR="0074293C" w:rsidRPr="00165D8C" w:rsidRDefault="000D052B" w:rsidP="0074293C">
            <w:pPr>
              <w:rPr>
                <w:rFonts w:ascii="Aptos" w:hAnsi="Aptos"/>
              </w:rPr>
            </w:pPr>
            <w:r>
              <w:rPr>
                <w:rFonts w:ascii="Aptos" w:hAnsi="Aptos"/>
              </w:rPr>
              <w:t>August</w:t>
            </w:r>
            <w:r w:rsidR="0074293C">
              <w:rPr>
                <w:rFonts w:ascii="Aptos" w:hAnsi="Aptos"/>
              </w:rPr>
              <w:t xml:space="preserve"> </w:t>
            </w:r>
            <w:r w:rsidR="00EF7949">
              <w:rPr>
                <w:rFonts w:ascii="Aptos" w:hAnsi="Aptos"/>
              </w:rPr>
              <w:t xml:space="preserve">2025 </w:t>
            </w:r>
          </w:p>
        </w:tc>
        <w:tc>
          <w:tcPr>
            <w:tcW w:w="4772" w:type="dxa"/>
            <w:vAlign w:val="center"/>
          </w:tcPr>
          <w:p w14:paraId="031EC6D8" w14:textId="113ACD2D" w:rsidR="0074293C" w:rsidRPr="00165D8C" w:rsidRDefault="00EF7949" w:rsidP="0074293C">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 xml:space="preserve">RTO Assessment Fee </w:t>
            </w:r>
            <w:r w:rsidR="0053569B">
              <w:rPr>
                <w:rFonts w:ascii="Aptos" w:hAnsi="Aptos"/>
              </w:rPr>
              <w:t>Tender Process</w:t>
            </w:r>
          </w:p>
        </w:tc>
      </w:tr>
      <w:tr w:rsidR="0074293C" w:rsidRPr="00165D8C" w14:paraId="5D49126E" w14:textId="77777777" w:rsidTr="00CE4D2E">
        <w:trPr>
          <w:trHeight w:val="560"/>
        </w:trPr>
        <w:tc>
          <w:tcPr>
            <w:cnfStyle w:val="001000000000" w:firstRow="0" w:lastRow="0" w:firstColumn="1" w:lastColumn="0" w:oddVBand="0" w:evenVBand="0" w:oddHBand="0" w:evenHBand="0" w:firstRowFirstColumn="0" w:firstRowLastColumn="0" w:lastRowFirstColumn="0" w:lastRowLastColumn="0"/>
            <w:tcW w:w="4194" w:type="dxa"/>
            <w:vAlign w:val="center"/>
          </w:tcPr>
          <w:p w14:paraId="610E7C1B" w14:textId="28CA5A8E" w:rsidR="0074293C" w:rsidRPr="00165D8C" w:rsidRDefault="000C4AF0" w:rsidP="0074293C">
            <w:pPr>
              <w:rPr>
                <w:rFonts w:ascii="Aptos" w:hAnsi="Aptos"/>
              </w:rPr>
            </w:pPr>
            <w:r>
              <w:rPr>
                <w:rFonts w:ascii="Aptos" w:hAnsi="Aptos"/>
              </w:rPr>
              <w:t>September 2025</w:t>
            </w:r>
            <w:r w:rsidR="0074293C" w:rsidRPr="00165D8C">
              <w:rPr>
                <w:rFonts w:ascii="Aptos" w:hAnsi="Aptos"/>
              </w:rPr>
              <w:t xml:space="preserve"> </w:t>
            </w:r>
          </w:p>
        </w:tc>
        <w:tc>
          <w:tcPr>
            <w:tcW w:w="4772" w:type="dxa"/>
            <w:vAlign w:val="center"/>
          </w:tcPr>
          <w:p w14:paraId="03BBF8EB" w14:textId="7EA82428" w:rsidR="0074293C" w:rsidRPr="00165D8C" w:rsidRDefault="0053569B" w:rsidP="0074293C">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F</w:t>
            </w:r>
            <w:r w:rsidR="0074293C" w:rsidRPr="00165D8C">
              <w:rPr>
                <w:rFonts w:ascii="Aptos" w:hAnsi="Aptos"/>
              </w:rPr>
              <w:t>ormal CRIS review</w:t>
            </w:r>
          </w:p>
        </w:tc>
      </w:tr>
    </w:tbl>
    <w:p w14:paraId="011DA908" w14:textId="69EA4B4E" w:rsidR="00F958E8" w:rsidRPr="00165D8C" w:rsidRDefault="00F958E8" w:rsidP="0028250C">
      <w:pPr>
        <w:rPr>
          <w:rFonts w:ascii="Aptos" w:hAnsi="Aptos"/>
        </w:rPr>
      </w:pPr>
    </w:p>
    <w:p w14:paraId="497162D9" w14:textId="2B27843D" w:rsidR="00F958E8" w:rsidRDefault="00F958E8" w:rsidP="00F86625">
      <w:pPr>
        <w:pStyle w:val="Heading1"/>
        <w:shd w:val="clear" w:color="auto" w:fill="404246"/>
        <w:rPr>
          <w:color w:val="FFFFFF" w:themeColor="background1"/>
          <w:lang w:eastAsia="en-AU"/>
        </w:rPr>
      </w:pPr>
      <w:bookmarkStart w:id="43" w:name="_Toc197608615"/>
      <w:r w:rsidRPr="00F86625">
        <w:rPr>
          <w:color w:val="FFFFFF" w:themeColor="background1"/>
          <w:lang w:eastAsia="en-AU"/>
        </w:rPr>
        <w:t>9.  CRIS approval and change register</w:t>
      </w:r>
      <w:bookmarkEnd w:id="43"/>
    </w:p>
    <w:p w14:paraId="242E8FAE" w14:textId="77777777" w:rsidR="0016169D" w:rsidRPr="005314E1" w:rsidRDefault="0016169D" w:rsidP="005314E1">
      <w:pPr>
        <w:rPr>
          <w:lang w:eastAsia="en-AU"/>
        </w:rPr>
      </w:pPr>
    </w:p>
    <w:tbl>
      <w:tblPr>
        <w:tblStyle w:val="GridTable4-Accent6"/>
        <w:tblW w:w="9214" w:type="dxa"/>
        <w:tblLook w:val="04A0" w:firstRow="1" w:lastRow="0" w:firstColumn="1" w:lastColumn="0" w:noHBand="0" w:noVBand="1"/>
      </w:tblPr>
      <w:tblGrid>
        <w:gridCol w:w="2263"/>
        <w:gridCol w:w="2211"/>
        <w:gridCol w:w="2325"/>
        <w:gridCol w:w="2415"/>
      </w:tblGrid>
      <w:tr w:rsidR="00F958E8" w:rsidRPr="00165D8C" w14:paraId="78E8028A" w14:textId="77777777" w:rsidTr="007B6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7A9F4C"/>
          </w:tcPr>
          <w:p w14:paraId="5754ACD5" w14:textId="5D218B93" w:rsidR="00F958E8" w:rsidRPr="00165D8C" w:rsidRDefault="00F958E8" w:rsidP="0028250C">
            <w:pPr>
              <w:rPr>
                <w:rFonts w:ascii="Aptos" w:hAnsi="Aptos"/>
              </w:rPr>
            </w:pPr>
            <w:r w:rsidRPr="00165D8C">
              <w:rPr>
                <w:rFonts w:ascii="Aptos" w:hAnsi="Aptos"/>
              </w:rPr>
              <w:t>Date</w:t>
            </w:r>
          </w:p>
        </w:tc>
        <w:tc>
          <w:tcPr>
            <w:tcW w:w="0" w:type="dxa"/>
            <w:shd w:val="clear" w:color="auto" w:fill="7A9F4C"/>
          </w:tcPr>
          <w:p w14:paraId="66774D5B" w14:textId="5F8E195C" w:rsidR="00F958E8" w:rsidRPr="00165D8C" w:rsidRDefault="00F958E8" w:rsidP="0028250C">
            <w:pPr>
              <w:cnfStyle w:val="100000000000" w:firstRow="1" w:lastRow="0" w:firstColumn="0" w:lastColumn="0" w:oddVBand="0" w:evenVBand="0" w:oddHBand="0" w:evenHBand="0" w:firstRowFirstColumn="0" w:firstRowLastColumn="0" w:lastRowFirstColumn="0" w:lastRowLastColumn="0"/>
              <w:rPr>
                <w:rFonts w:ascii="Aptos" w:hAnsi="Aptos"/>
              </w:rPr>
            </w:pPr>
            <w:r w:rsidRPr="00165D8C">
              <w:rPr>
                <w:rFonts w:ascii="Aptos" w:hAnsi="Aptos"/>
              </w:rPr>
              <w:t>CRIS change</w:t>
            </w:r>
          </w:p>
        </w:tc>
        <w:tc>
          <w:tcPr>
            <w:tcW w:w="0" w:type="dxa"/>
            <w:shd w:val="clear" w:color="auto" w:fill="7A9F4C"/>
          </w:tcPr>
          <w:p w14:paraId="09DF7E12" w14:textId="43E7CA92" w:rsidR="00F958E8" w:rsidRPr="00165D8C" w:rsidRDefault="00F958E8" w:rsidP="0028250C">
            <w:pPr>
              <w:cnfStyle w:val="100000000000" w:firstRow="1" w:lastRow="0" w:firstColumn="0" w:lastColumn="0" w:oddVBand="0" w:evenVBand="0" w:oddHBand="0" w:evenHBand="0" w:firstRowFirstColumn="0" w:firstRowLastColumn="0" w:lastRowFirstColumn="0" w:lastRowLastColumn="0"/>
              <w:rPr>
                <w:rFonts w:ascii="Aptos" w:hAnsi="Aptos"/>
              </w:rPr>
            </w:pPr>
            <w:r w:rsidRPr="00165D8C">
              <w:rPr>
                <w:rFonts w:ascii="Aptos" w:hAnsi="Aptos"/>
              </w:rPr>
              <w:t>Approver</w:t>
            </w:r>
          </w:p>
        </w:tc>
        <w:tc>
          <w:tcPr>
            <w:tcW w:w="0" w:type="dxa"/>
            <w:shd w:val="clear" w:color="auto" w:fill="7A9F4C"/>
          </w:tcPr>
          <w:p w14:paraId="5DF41C21" w14:textId="1763697A" w:rsidR="00F958E8" w:rsidRPr="00165D8C" w:rsidRDefault="00F958E8" w:rsidP="0028250C">
            <w:pPr>
              <w:cnfStyle w:val="100000000000" w:firstRow="1" w:lastRow="0" w:firstColumn="0" w:lastColumn="0" w:oddVBand="0" w:evenVBand="0" w:oddHBand="0" w:evenHBand="0" w:firstRowFirstColumn="0" w:firstRowLastColumn="0" w:lastRowFirstColumn="0" w:lastRowLastColumn="0"/>
              <w:rPr>
                <w:rFonts w:ascii="Aptos" w:hAnsi="Aptos"/>
              </w:rPr>
            </w:pPr>
            <w:r w:rsidRPr="00165D8C">
              <w:rPr>
                <w:rFonts w:ascii="Aptos" w:hAnsi="Aptos"/>
              </w:rPr>
              <w:t>Basis for Change</w:t>
            </w:r>
          </w:p>
        </w:tc>
      </w:tr>
      <w:tr w:rsidR="006B1592" w:rsidRPr="00165D8C" w14:paraId="0A2AE4C1" w14:textId="77777777" w:rsidTr="00C87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D3AD8CE" w14:textId="181B5921" w:rsidR="006B1592" w:rsidRPr="00165D8C" w:rsidRDefault="006B1592" w:rsidP="0028250C">
            <w:pPr>
              <w:rPr>
                <w:rFonts w:ascii="Aptos" w:hAnsi="Aptos"/>
              </w:rPr>
            </w:pPr>
            <w:r w:rsidRPr="00165D8C">
              <w:rPr>
                <w:rFonts w:ascii="Aptos" w:hAnsi="Aptos"/>
              </w:rPr>
              <w:t xml:space="preserve">25 October 2018 </w:t>
            </w:r>
          </w:p>
        </w:tc>
        <w:tc>
          <w:tcPr>
            <w:tcW w:w="2211" w:type="dxa"/>
          </w:tcPr>
          <w:p w14:paraId="259C007F" w14:textId="2AEAA21A"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 xml:space="preserve">Draft RTO Assessment Services CRIS </w:t>
            </w:r>
          </w:p>
        </w:tc>
        <w:tc>
          <w:tcPr>
            <w:tcW w:w="2325" w:type="dxa"/>
          </w:tcPr>
          <w:p w14:paraId="6CCBE1AC" w14:textId="7DF2F822"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 xml:space="preserve">Department of Finance </w:t>
            </w:r>
          </w:p>
        </w:tc>
        <w:tc>
          <w:tcPr>
            <w:tcW w:w="2415" w:type="dxa"/>
          </w:tcPr>
          <w:p w14:paraId="649D8602" w14:textId="6D262430"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 xml:space="preserve">New regulatory charging activity </w:t>
            </w:r>
          </w:p>
        </w:tc>
      </w:tr>
      <w:tr w:rsidR="006B1592" w:rsidRPr="00165D8C" w14:paraId="1CF3AF09" w14:textId="77777777" w:rsidTr="00C87655">
        <w:tc>
          <w:tcPr>
            <w:cnfStyle w:val="001000000000" w:firstRow="0" w:lastRow="0" w:firstColumn="1" w:lastColumn="0" w:oddVBand="0" w:evenVBand="0" w:oddHBand="0" w:evenHBand="0" w:firstRowFirstColumn="0" w:firstRowLastColumn="0" w:lastRowFirstColumn="0" w:lastRowLastColumn="0"/>
            <w:tcW w:w="2263" w:type="dxa"/>
          </w:tcPr>
          <w:p w14:paraId="2A96746A" w14:textId="6AED3B2A" w:rsidR="006B1592" w:rsidRPr="00165D8C" w:rsidRDefault="006B1592" w:rsidP="0028250C">
            <w:pPr>
              <w:rPr>
                <w:rFonts w:ascii="Aptos" w:hAnsi="Aptos"/>
              </w:rPr>
            </w:pPr>
            <w:r w:rsidRPr="00165D8C">
              <w:rPr>
                <w:rFonts w:ascii="Aptos" w:hAnsi="Aptos"/>
              </w:rPr>
              <w:t xml:space="preserve">19 December 2018 </w:t>
            </w:r>
          </w:p>
        </w:tc>
        <w:tc>
          <w:tcPr>
            <w:tcW w:w="2211" w:type="dxa"/>
          </w:tcPr>
          <w:p w14:paraId="68FCD81A" w14:textId="324F85C0" w:rsidR="006B1592" w:rsidRPr="00165D8C" w:rsidRDefault="006B1592"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 xml:space="preserve">Final RTO Assessment Services CRIS </w:t>
            </w:r>
          </w:p>
        </w:tc>
        <w:tc>
          <w:tcPr>
            <w:tcW w:w="2325" w:type="dxa"/>
          </w:tcPr>
          <w:p w14:paraId="46FB563B" w14:textId="35F3E782" w:rsidR="006B1592" w:rsidRPr="00165D8C" w:rsidRDefault="006B1592"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 xml:space="preserve">Minister for Finance and the Public Service </w:t>
            </w:r>
          </w:p>
        </w:tc>
        <w:tc>
          <w:tcPr>
            <w:tcW w:w="2415" w:type="dxa"/>
          </w:tcPr>
          <w:p w14:paraId="3327E7C8" w14:textId="69054648" w:rsidR="006B1592" w:rsidRPr="00165D8C" w:rsidRDefault="006B1592"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 xml:space="preserve">Final approval </w:t>
            </w:r>
          </w:p>
        </w:tc>
      </w:tr>
      <w:tr w:rsidR="006B1592" w:rsidRPr="00165D8C" w14:paraId="0D4AC127" w14:textId="77777777" w:rsidTr="00C87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F7EF99B" w14:textId="4072F4CF" w:rsidR="006B1592" w:rsidRPr="00165D8C" w:rsidRDefault="006B1592" w:rsidP="0028250C">
            <w:pPr>
              <w:rPr>
                <w:rFonts w:ascii="Aptos" w:hAnsi="Aptos"/>
              </w:rPr>
            </w:pPr>
            <w:r w:rsidRPr="00165D8C">
              <w:rPr>
                <w:rFonts w:ascii="Aptos" w:hAnsi="Aptos"/>
              </w:rPr>
              <w:t xml:space="preserve">18 July 2021 </w:t>
            </w:r>
          </w:p>
        </w:tc>
        <w:tc>
          <w:tcPr>
            <w:tcW w:w="2211" w:type="dxa"/>
          </w:tcPr>
          <w:p w14:paraId="753AA013" w14:textId="53FBA962"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 xml:space="preserve">Certification of TRA JRP, MSA and MPA CRIS </w:t>
            </w:r>
          </w:p>
        </w:tc>
        <w:tc>
          <w:tcPr>
            <w:tcW w:w="2325" w:type="dxa"/>
          </w:tcPr>
          <w:p w14:paraId="651BE0FA" w14:textId="02164174"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 xml:space="preserve">Secretary, Department of Education, Skills and Employment </w:t>
            </w:r>
          </w:p>
        </w:tc>
        <w:tc>
          <w:tcPr>
            <w:tcW w:w="2415" w:type="dxa"/>
          </w:tcPr>
          <w:p w14:paraId="7992BC32" w14:textId="2AD9BDEF"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 xml:space="preserve">Updated cost recovery arrangements </w:t>
            </w:r>
          </w:p>
        </w:tc>
      </w:tr>
      <w:tr w:rsidR="006B1592" w:rsidRPr="00165D8C" w14:paraId="38F83089" w14:textId="77777777" w:rsidTr="00C87655">
        <w:tc>
          <w:tcPr>
            <w:cnfStyle w:val="001000000000" w:firstRow="0" w:lastRow="0" w:firstColumn="1" w:lastColumn="0" w:oddVBand="0" w:evenVBand="0" w:oddHBand="0" w:evenHBand="0" w:firstRowFirstColumn="0" w:firstRowLastColumn="0" w:lastRowFirstColumn="0" w:lastRowLastColumn="0"/>
            <w:tcW w:w="2263" w:type="dxa"/>
          </w:tcPr>
          <w:p w14:paraId="07E0B9BB" w14:textId="2450B251" w:rsidR="006B1592" w:rsidRPr="00165D8C" w:rsidRDefault="006B1592" w:rsidP="0028250C">
            <w:pPr>
              <w:rPr>
                <w:rFonts w:ascii="Aptos" w:hAnsi="Aptos"/>
              </w:rPr>
            </w:pPr>
            <w:r w:rsidRPr="00165D8C">
              <w:rPr>
                <w:rFonts w:ascii="Aptos" w:hAnsi="Aptos"/>
              </w:rPr>
              <w:t xml:space="preserve">4 August 2021 </w:t>
            </w:r>
          </w:p>
        </w:tc>
        <w:tc>
          <w:tcPr>
            <w:tcW w:w="2211" w:type="dxa"/>
          </w:tcPr>
          <w:p w14:paraId="5341F620" w14:textId="139FDE93" w:rsidR="006B1592" w:rsidRPr="00165D8C" w:rsidRDefault="006B1592"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Approval of TRA JRP, MSA and MPA CRIS</w:t>
            </w:r>
          </w:p>
        </w:tc>
        <w:tc>
          <w:tcPr>
            <w:tcW w:w="2325" w:type="dxa"/>
          </w:tcPr>
          <w:p w14:paraId="248C167F" w14:textId="0C90181D" w:rsidR="006B1592" w:rsidRPr="00165D8C" w:rsidRDefault="006B1592"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 xml:space="preserve">Minister for Employment, Skills, Small and Family Business </w:t>
            </w:r>
          </w:p>
        </w:tc>
        <w:tc>
          <w:tcPr>
            <w:tcW w:w="2415" w:type="dxa"/>
          </w:tcPr>
          <w:p w14:paraId="2D47DD0E" w14:textId="0EF9C058" w:rsidR="006B1592" w:rsidRPr="00165D8C" w:rsidRDefault="006B1592"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 xml:space="preserve">Updated cost recovery arrangements </w:t>
            </w:r>
          </w:p>
        </w:tc>
      </w:tr>
      <w:tr w:rsidR="00034493" w:rsidRPr="00165D8C" w14:paraId="3DBC501D" w14:textId="77777777" w:rsidTr="00C87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468F8D6" w14:textId="1C177FD8" w:rsidR="006B1592" w:rsidRPr="00165D8C" w:rsidRDefault="006B1592" w:rsidP="0028250C">
            <w:pPr>
              <w:rPr>
                <w:rFonts w:ascii="Aptos" w:hAnsi="Aptos"/>
              </w:rPr>
            </w:pPr>
            <w:r w:rsidRPr="00165D8C">
              <w:rPr>
                <w:rFonts w:ascii="Aptos" w:hAnsi="Aptos"/>
              </w:rPr>
              <w:t xml:space="preserve">21 August 2021 </w:t>
            </w:r>
          </w:p>
        </w:tc>
        <w:tc>
          <w:tcPr>
            <w:tcW w:w="2211" w:type="dxa"/>
          </w:tcPr>
          <w:p w14:paraId="7A1F17E2" w14:textId="31829603"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Agreement to release TRA JRP, MSA and MPA CRIS</w:t>
            </w:r>
          </w:p>
        </w:tc>
        <w:tc>
          <w:tcPr>
            <w:tcW w:w="2325" w:type="dxa"/>
          </w:tcPr>
          <w:p w14:paraId="15E439E8" w14:textId="54F84651"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 xml:space="preserve">Agreement to release by Minister of Finance </w:t>
            </w:r>
          </w:p>
        </w:tc>
        <w:tc>
          <w:tcPr>
            <w:tcW w:w="2415" w:type="dxa"/>
          </w:tcPr>
          <w:p w14:paraId="6F8E360C" w14:textId="6973E463" w:rsidR="006B1592" w:rsidRPr="00165D8C" w:rsidRDefault="006B159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Final approval</w:t>
            </w:r>
          </w:p>
        </w:tc>
      </w:tr>
      <w:tr w:rsidR="006B1592" w:rsidRPr="00165D8C" w14:paraId="216303BA" w14:textId="77777777" w:rsidTr="00C87655">
        <w:tc>
          <w:tcPr>
            <w:cnfStyle w:val="001000000000" w:firstRow="0" w:lastRow="0" w:firstColumn="1" w:lastColumn="0" w:oddVBand="0" w:evenVBand="0" w:oddHBand="0" w:evenHBand="0" w:firstRowFirstColumn="0" w:firstRowLastColumn="0" w:lastRowFirstColumn="0" w:lastRowLastColumn="0"/>
            <w:tcW w:w="2263" w:type="dxa"/>
          </w:tcPr>
          <w:p w14:paraId="5D1117C6" w14:textId="76E6AFC0" w:rsidR="006B1592" w:rsidRPr="00165D8C" w:rsidRDefault="00204884" w:rsidP="0028250C">
            <w:pPr>
              <w:rPr>
                <w:rFonts w:ascii="Aptos" w:hAnsi="Aptos"/>
              </w:rPr>
            </w:pPr>
            <w:r w:rsidRPr="00165D8C">
              <w:rPr>
                <w:rFonts w:ascii="Aptos" w:hAnsi="Aptos"/>
              </w:rPr>
              <w:t>15</w:t>
            </w:r>
            <w:r w:rsidR="008665AD" w:rsidRPr="00165D8C">
              <w:rPr>
                <w:rFonts w:ascii="Aptos" w:hAnsi="Aptos"/>
              </w:rPr>
              <w:t xml:space="preserve"> September 2022</w:t>
            </w:r>
          </w:p>
        </w:tc>
        <w:tc>
          <w:tcPr>
            <w:tcW w:w="2211" w:type="dxa"/>
          </w:tcPr>
          <w:p w14:paraId="73C9F12D" w14:textId="1DE56ABC" w:rsidR="006B1592" w:rsidRPr="00165D8C" w:rsidRDefault="006B1592"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 xml:space="preserve">Certification of amalgamated </w:t>
            </w:r>
            <w:r w:rsidR="00F317DB" w:rsidRPr="00165D8C">
              <w:rPr>
                <w:rFonts w:ascii="Aptos" w:hAnsi="Aptos"/>
              </w:rPr>
              <w:t xml:space="preserve">and updated </w:t>
            </w:r>
            <w:r w:rsidRPr="00165D8C">
              <w:rPr>
                <w:rFonts w:ascii="Aptos" w:hAnsi="Aptos"/>
              </w:rPr>
              <w:t>TRA CRIS</w:t>
            </w:r>
          </w:p>
        </w:tc>
        <w:tc>
          <w:tcPr>
            <w:tcW w:w="2325" w:type="dxa"/>
          </w:tcPr>
          <w:p w14:paraId="25363AEB" w14:textId="77777777" w:rsidR="006B1592" w:rsidRPr="00165D8C" w:rsidRDefault="006B1592"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Secretary, Department of Employment and Workplace Relations</w:t>
            </w:r>
          </w:p>
        </w:tc>
        <w:tc>
          <w:tcPr>
            <w:tcW w:w="2415" w:type="dxa"/>
          </w:tcPr>
          <w:p w14:paraId="2C7F0EAE" w14:textId="68954DDF" w:rsidR="006B1592" w:rsidRPr="00165D8C" w:rsidRDefault="00F317DB" w:rsidP="0028250C">
            <w:pPr>
              <w:cnfStyle w:val="000000000000" w:firstRow="0" w:lastRow="0" w:firstColumn="0" w:lastColumn="0" w:oddVBand="0" w:evenVBand="0" w:oddHBand="0" w:evenHBand="0" w:firstRowFirstColumn="0" w:firstRowLastColumn="0" w:lastRowFirstColumn="0" w:lastRowLastColumn="0"/>
              <w:rPr>
                <w:rFonts w:ascii="Aptos" w:hAnsi="Aptos"/>
              </w:rPr>
            </w:pPr>
            <w:r w:rsidRPr="00165D8C">
              <w:rPr>
                <w:rFonts w:ascii="Aptos" w:hAnsi="Aptos"/>
              </w:rPr>
              <w:t>Final approval</w:t>
            </w:r>
          </w:p>
        </w:tc>
      </w:tr>
      <w:tr w:rsidR="002178C1" w:rsidRPr="00165D8C" w14:paraId="112AA9C2" w14:textId="77777777" w:rsidTr="00C87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6755928" w14:textId="1B219E2F" w:rsidR="002178C1" w:rsidRPr="00165D8C" w:rsidRDefault="0070283B" w:rsidP="0028250C">
            <w:pPr>
              <w:rPr>
                <w:rFonts w:ascii="Aptos" w:hAnsi="Aptos"/>
              </w:rPr>
            </w:pPr>
            <w:r w:rsidRPr="00165D8C">
              <w:rPr>
                <w:rFonts w:ascii="Aptos" w:hAnsi="Aptos"/>
              </w:rPr>
              <w:t>25 April 2024</w:t>
            </w:r>
          </w:p>
        </w:tc>
        <w:tc>
          <w:tcPr>
            <w:tcW w:w="2211" w:type="dxa"/>
          </w:tcPr>
          <w:p w14:paraId="5EE9FF4A" w14:textId="626A4932" w:rsidR="002178C1" w:rsidRPr="00165D8C" w:rsidRDefault="00433912"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Updates to</w:t>
            </w:r>
            <w:r w:rsidR="000B56A1" w:rsidRPr="00165D8C">
              <w:rPr>
                <w:rFonts w:ascii="Aptos" w:hAnsi="Aptos"/>
              </w:rPr>
              <w:t xml:space="preserve"> </w:t>
            </w:r>
            <w:r w:rsidRPr="00165D8C">
              <w:rPr>
                <w:rFonts w:ascii="Aptos" w:hAnsi="Aptos"/>
              </w:rPr>
              <w:t xml:space="preserve">financial information, </w:t>
            </w:r>
            <w:r w:rsidR="000B56A1" w:rsidRPr="00165D8C">
              <w:rPr>
                <w:rFonts w:ascii="Aptos" w:hAnsi="Aptos"/>
              </w:rPr>
              <w:t xml:space="preserve">demand </w:t>
            </w:r>
            <w:r w:rsidRPr="00165D8C">
              <w:rPr>
                <w:rFonts w:ascii="Aptos" w:hAnsi="Aptos"/>
              </w:rPr>
              <w:t xml:space="preserve">and revenue forecasts. </w:t>
            </w:r>
          </w:p>
        </w:tc>
        <w:tc>
          <w:tcPr>
            <w:tcW w:w="2325" w:type="dxa"/>
          </w:tcPr>
          <w:p w14:paraId="51F396B8" w14:textId="566C4916" w:rsidR="002178C1" w:rsidRPr="00165D8C" w:rsidRDefault="00D33BDE"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Department of Finance</w:t>
            </w:r>
          </w:p>
        </w:tc>
        <w:tc>
          <w:tcPr>
            <w:tcW w:w="2415" w:type="dxa"/>
          </w:tcPr>
          <w:p w14:paraId="08E9ECB6" w14:textId="127601E4" w:rsidR="002178C1" w:rsidRPr="00165D8C" w:rsidRDefault="00D33BDE" w:rsidP="0028250C">
            <w:pPr>
              <w:cnfStyle w:val="000000100000" w:firstRow="0" w:lastRow="0" w:firstColumn="0" w:lastColumn="0" w:oddVBand="0" w:evenVBand="0" w:oddHBand="1" w:evenHBand="0" w:firstRowFirstColumn="0" w:firstRowLastColumn="0" w:lastRowFirstColumn="0" w:lastRowLastColumn="0"/>
              <w:rPr>
                <w:rFonts w:ascii="Aptos" w:hAnsi="Aptos"/>
              </w:rPr>
            </w:pPr>
            <w:r w:rsidRPr="00165D8C">
              <w:rPr>
                <w:rFonts w:ascii="Aptos" w:hAnsi="Aptos"/>
              </w:rPr>
              <w:t xml:space="preserve">Final </w:t>
            </w:r>
            <w:r w:rsidR="00EB1579">
              <w:rPr>
                <w:rFonts w:ascii="Aptos" w:hAnsi="Aptos"/>
              </w:rPr>
              <w:t>a</w:t>
            </w:r>
            <w:r w:rsidRPr="00165D8C">
              <w:rPr>
                <w:rFonts w:ascii="Aptos" w:hAnsi="Aptos"/>
              </w:rPr>
              <w:t>pproval</w:t>
            </w:r>
          </w:p>
        </w:tc>
      </w:tr>
    </w:tbl>
    <w:p w14:paraId="7C02B854" w14:textId="4CE72CCE" w:rsidR="00BE3107" w:rsidRPr="00165D8C" w:rsidRDefault="00BE3107" w:rsidP="0028250C">
      <w:pPr>
        <w:rPr>
          <w:rFonts w:ascii="Aptos" w:hAnsi="Aptos"/>
        </w:rPr>
      </w:pPr>
    </w:p>
    <w:sectPr w:rsidR="00BE3107" w:rsidRPr="00165D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3568" w14:textId="77777777" w:rsidR="00203EBB" w:rsidRDefault="00203EBB" w:rsidP="0028250C">
      <w:r>
        <w:separator/>
      </w:r>
    </w:p>
  </w:endnote>
  <w:endnote w:type="continuationSeparator" w:id="0">
    <w:p w14:paraId="23692876" w14:textId="77777777" w:rsidR="00203EBB" w:rsidRDefault="00203EBB" w:rsidP="0028250C">
      <w:r>
        <w:continuationSeparator/>
      </w:r>
    </w:p>
  </w:endnote>
  <w:endnote w:type="continuationNotice" w:id="1">
    <w:p w14:paraId="4542C488" w14:textId="77777777" w:rsidR="00203EBB" w:rsidRDefault="00203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275075"/>
      <w:docPartObj>
        <w:docPartGallery w:val="Page Numbers (Bottom of Page)"/>
        <w:docPartUnique/>
      </w:docPartObj>
    </w:sdtPr>
    <w:sdtEndPr>
      <w:rPr>
        <w:noProof/>
      </w:rPr>
    </w:sdtEndPr>
    <w:sdtContent>
      <w:p w14:paraId="0D20A1B0" w14:textId="0CEA24A3" w:rsidR="00DF5E63" w:rsidRDefault="00DF5E63" w:rsidP="0028250C">
        <w:pPr>
          <w:pStyle w:val="Footer"/>
        </w:pPr>
        <w:r>
          <w:fldChar w:fldCharType="begin"/>
        </w:r>
        <w:r>
          <w:instrText xml:space="preserve"> PAGE   \* MERGEFORMAT </w:instrText>
        </w:r>
        <w:r>
          <w:fldChar w:fldCharType="separate"/>
        </w:r>
        <w:r w:rsidR="00EF294F">
          <w:rPr>
            <w:noProof/>
          </w:rPr>
          <w:t>11</w:t>
        </w:r>
        <w:r>
          <w:rPr>
            <w:noProof/>
          </w:rPr>
          <w:fldChar w:fldCharType="end"/>
        </w:r>
      </w:p>
    </w:sdtContent>
  </w:sdt>
  <w:p w14:paraId="1C4AF293" w14:textId="77777777" w:rsidR="002E2585" w:rsidRDefault="002E2585" w:rsidP="00282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0541" w14:textId="77777777" w:rsidR="00203EBB" w:rsidRDefault="00203EBB" w:rsidP="0028250C">
      <w:r>
        <w:separator/>
      </w:r>
    </w:p>
  </w:footnote>
  <w:footnote w:type="continuationSeparator" w:id="0">
    <w:p w14:paraId="0A26F7AD" w14:textId="77777777" w:rsidR="00203EBB" w:rsidRDefault="00203EBB" w:rsidP="0028250C">
      <w:r>
        <w:continuationSeparator/>
      </w:r>
    </w:p>
  </w:footnote>
  <w:footnote w:type="continuationNotice" w:id="1">
    <w:p w14:paraId="3CFEEC5B" w14:textId="77777777" w:rsidR="00203EBB" w:rsidRDefault="00203EBB">
      <w:pPr>
        <w:spacing w:after="0" w:line="240" w:lineRule="auto"/>
      </w:pPr>
    </w:p>
  </w:footnote>
  <w:footnote w:id="2">
    <w:p w14:paraId="0A1D5192" w14:textId="26C56BC0" w:rsidR="002E2585" w:rsidRDefault="002E2585" w:rsidP="002E2585">
      <w:pPr>
        <w:pStyle w:val="footnotedescription"/>
      </w:pPr>
      <w:r>
        <w:rPr>
          <w:rStyle w:val="footnotemark"/>
        </w:rPr>
        <w:footnoteRef/>
      </w:r>
      <w:r>
        <w:t xml:space="preserve"> The Australian Government Charging Framework and the CR</w:t>
      </w:r>
      <w:r w:rsidR="00397C30">
        <w:t>P</w:t>
      </w:r>
      <w:r>
        <w:t xml:space="preserve">s are available on the Department of Finance website </w:t>
      </w:r>
      <w:hyperlink r:id="rId1">
        <w:r>
          <w:t>(</w:t>
        </w:r>
      </w:hyperlink>
      <w:hyperlink r:id="rId2">
        <w:r>
          <w:t>www.finance.gov.au</w:t>
        </w:r>
      </w:hyperlink>
      <w:hyperlink r:id="rId3">
        <w:r>
          <w:t>)</w:t>
        </w:r>
      </w:hyperlink>
      <w:r>
        <w:t xml:space="preserve">. </w:t>
      </w:r>
    </w:p>
  </w:footnote>
  <w:footnote w:id="3">
    <w:p w14:paraId="6E1F557E" w14:textId="7EBEC460" w:rsidR="001A55D0" w:rsidRDefault="001A55D0">
      <w:pPr>
        <w:pStyle w:val="FootnoteText"/>
      </w:pPr>
      <w:r>
        <w:rPr>
          <w:rStyle w:val="FootnoteReference"/>
        </w:rPr>
        <w:footnoteRef/>
      </w:r>
      <w:r>
        <w:t xml:space="preserve"> </w:t>
      </w:r>
      <w:r w:rsidRPr="001A55D0">
        <w:t>https://archive.budget.gov.au/2019-20/bp2/download/bp2.pdf</w:t>
      </w:r>
    </w:p>
  </w:footnote>
  <w:footnote w:id="4">
    <w:p w14:paraId="52D7B5DD" w14:textId="32CCD446" w:rsidR="00A335AE" w:rsidRDefault="00A335AE">
      <w:pPr>
        <w:pStyle w:val="FootnoteText"/>
      </w:pPr>
      <w:r>
        <w:rPr>
          <w:rStyle w:val="FootnoteReference"/>
        </w:rPr>
        <w:footnoteRef/>
      </w:r>
      <w:r>
        <w:t xml:space="preserve"> </w:t>
      </w:r>
      <w:r w:rsidRPr="00A335AE">
        <w:t>https://archive.budget.gov.au/2015-16/myefo/MYEFO_2015-16_Final.pdf</w:t>
      </w:r>
    </w:p>
  </w:footnote>
  <w:footnote w:id="5">
    <w:p w14:paraId="5F7B79BC" w14:textId="799C9DED" w:rsidR="001A55D0" w:rsidRDefault="001A55D0">
      <w:pPr>
        <w:pStyle w:val="FootnoteText"/>
      </w:pPr>
      <w:r>
        <w:rPr>
          <w:rStyle w:val="FootnoteReference"/>
        </w:rPr>
        <w:footnoteRef/>
      </w:r>
      <w:r>
        <w:t xml:space="preserve"> </w:t>
      </w:r>
      <w:r w:rsidRPr="001A55D0">
        <w:t>https://archive.budget.gov.au/2021-22/bp2/download/bp2_2021-22.pdf</w:t>
      </w:r>
    </w:p>
  </w:footnote>
  <w:footnote w:id="6">
    <w:p w14:paraId="696A4AE3" w14:textId="13801F40" w:rsidR="001A55D0" w:rsidRDefault="001A55D0">
      <w:pPr>
        <w:pStyle w:val="FootnoteText"/>
      </w:pPr>
      <w:r>
        <w:rPr>
          <w:rStyle w:val="FootnoteReference"/>
        </w:rPr>
        <w:footnoteRef/>
      </w:r>
      <w:r>
        <w:t xml:space="preserve"> </w:t>
      </w:r>
      <w:r w:rsidR="00320FE0" w:rsidRPr="00320FE0">
        <w:t>https://www.legislation.gov.au/C1958A00062/latest/text</w:t>
      </w:r>
    </w:p>
  </w:footnote>
  <w:footnote w:id="7">
    <w:p w14:paraId="0B14D65E" w14:textId="07275DBB" w:rsidR="001A55D0" w:rsidRDefault="001A55D0">
      <w:pPr>
        <w:pStyle w:val="FootnoteText"/>
      </w:pPr>
      <w:r>
        <w:rPr>
          <w:rStyle w:val="FootnoteReference"/>
        </w:rPr>
        <w:footnoteRef/>
      </w:r>
      <w:r>
        <w:t xml:space="preserve"> </w:t>
      </w:r>
      <w:r w:rsidR="00597B94" w:rsidRPr="00597B94">
        <w:t>https://www.legislation.gov.au/F1996B03551/latest/text</w:t>
      </w:r>
    </w:p>
  </w:footnote>
  <w:footnote w:id="8">
    <w:p w14:paraId="1AA01D3B" w14:textId="2AA21776" w:rsidR="00403A79" w:rsidRDefault="00403A79">
      <w:pPr>
        <w:pStyle w:val="FootnoteText"/>
      </w:pPr>
      <w:r>
        <w:rPr>
          <w:rStyle w:val="FootnoteReference"/>
        </w:rPr>
        <w:footnoteRef/>
      </w:r>
      <w:r>
        <w:t xml:space="preserve"> </w:t>
      </w:r>
      <w:hyperlink r:id="rId4" w:history="1">
        <w:r w:rsidR="000B3275" w:rsidRPr="005314E1">
          <w:t>https://www.legislation.gov.au/F2023L00320/latest/text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E919" w14:textId="2663D498" w:rsidR="009A00E3" w:rsidRDefault="009A0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E4C"/>
    <w:multiLevelType w:val="hybridMultilevel"/>
    <w:tmpl w:val="1088A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C2F32"/>
    <w:multiLevelType w:val="hybridMultilevel"/>
    <w:tmpl w:val="A712C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D511FE"/>
    <w:multiLevelType w:val="hybridMultilevel"/>
    <w:tmpl w:val="A53EDD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F1618"/>
    <w:multiLevelType w:val="hybridMultilevel"/>
    <w:tmpl w:val="830E3A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950942"/>
    <w:multiLevelType w:val="multilevel"/>
    <w:tmpl w:val="B4FEEF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5" w15:restartNumberingAfterBreak="0">
    <w:nsid w:val="17944F98"/>
    <w:multiLevelType w:val="hybridMultilevel"/>
    <w:tmpl w:val="EDCEB7D2"/>
    <w:lvl w:ilvl="0" w:tplc="C6FEA3F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A6E39"/>
    <w:multiLevelType w:val="hybridMultilevel"/>
    <w:tmpl w:val="9814C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4805D0"/>
    <w:multiLevelType w:val="hybridMultilevel"/>
    <w:tmpl w:val="4F5E4884"/>
    <w:lvl w:ilvl="0" w:tplc="7076DC4E">
      <w:start w:val="1"/>
      <w:numFmt w:val="bullet"/>
      <w:lvlText w:val="•"/>
      <w:lvlJc w:val="left"/>
      <w:pPr>
        <w:tabs>
          <w:tab w:val="num" w:pos="720"/>
        </w:tabs>
        <w:ind w:left="720" w:hanging="360"/>
      </w:pPr>
      <w:rPr>
        <w:rFonts w:ascii="Times New Roman" w:hAnsi="Times New Roman" w:hint="default"/>
      </w:rPr>
    </w:lvl>
    <w:lvl w:ilvl="1" w:tplc="2906390A" w:tentative="1">
      <w:start w:val="1"/>
      <w:numFmt w:val="bullet"/>
      <w:lvlText w:val="•"/>
      <w:lvlJc w:val="left"/>
      <w:pPr>
        <w:tabs>
          <w:tab w:val="num" w:pos="1440"/>
        </w:tabs>
        <w:ind w:left="1440" w:hanging="360"/>
      </w:pPr>
      <w:rPr>
        <w:rFonts w:ascii="Times New Roman" w:hAnsi="Times New Roman" w:hint="default"/>
      </w:rPr>
    </w:lvl>
    <w:lvl w:ilvl="2" w:tplc="89A0544C" w:tentative="1">
      <w:start w:val="1"/>
      <w:numFmt w:val="bullet"/>
      <w:lvlText w:val="•"/>
      <w:lvlJc w:val="left"/>
      <w:pPr>
        <w:tabs>
          <w:tab w:val="num" w:pos="2160"/>
        </w:tabs>
        <w:ind w:left="2160" w:hanging="360"/>
      </w:pPr>
      <w:rPr>
        <w:rFonts w:ascii="Times New Roman" w:hAnsi="Times New Roman" w:hint="default"/>
      </w:rPr>
    </w:lvl>
    <w:lvl w:ilvl="3" w:tplc="7EA63FC4" w:tentative="1">
      <w:start w:val="1"/>
      <w:numFmt w:val="bullet"/>
      <w:lvlText w:val="•"/>
      <w:lvlJc w:val="left"/>
      <w:pPr>
        <w:tabs>
          <w:tab w:val="num" w:pos="2880"/>
        </w:tabs>
        <w:ind w:left="2880" w:hanging="360"/>
      </w:pPr>
      <w:rPr>
        <w:rFonts w:ascii="Times New Roman" w:hAnsi="Times New Roman" w:hint="default"/>
      </w:rPr>
    </w:lvl>
    <w:lvl w:ilvl="4" w:tplc="935E0376" w:tentative="1">
      <w:start w:val="1"/>
      <w:numFmt w:val="bullet"/>
      <w:lvlText w:val="•"/>
      <w:lvlJc w:val="left"/>
      <w:pPr>
        <w:tabs>
          <w:tab w:val="num" w:pos="3600"/>
        </w:tabs>
        <w:ind w:left="3600" w:hanging="360"/>
      </w:pPr>
      <w:rPr>
        <w:rFonts w:ascii="Times New Roman" w:hAnsi="Times New Roman" w:hint="default"/>
      </w:rPr>
    </w:lvl>
    <w:lvl w:ilvl="5" w:tplc="3C141E44" w:tentative="1">
      <w:start w:val="1"/>
      <w:numFmt w:val="bullet"/>
      <w:lvlText w:val="•"/>
      <w:lvlJc w:val="left"/>
      <w:pPr>
        <w:tabs>
          <w:tab w:val="num" w:pos="4320"/>
        </w:tabs>
        <w:ind w:left="4320" w:hanging="360"/>
      </w:pPr>
      <w:rPr>
        <w:rFonts w:ascii="Times New Roman" w:hAnsi="Times New Roman" w:hint="default"/>
      </w:rPr>
    </w:lvl>
    <w:lvl w:ilvl="6" w:tplc="9EE66BD2" w:tentative="1">
      <w:start w:val="1"/>
      <w:numFmt w:val="bullet"/>
      <w:lvlText w:val="•"/>
      <w:lvlJc w:val="left"/>
      <w:pPr>
        <w:tabs>
          <w:tab w:val="num" w:pos="5040"/>
        </w:tabs>
        <w:ind w:left="5040" w:hanging="360"/>
      </w:pPr>
      <w:rPr>
        <w:rFonts w:ascii="Times New Roman" w:hAnsi="Times New Roman" w:hint="default"/>
      </w:rPr>
    </w:lvl>
    <w:lvl w:ilvl="7" w:tplc="D0303AE6" w:tentative="1">
      <w:start w:val="1"/>
      <w:numFmt w:val="bullet"/>
      <w:lvlText w:val="•"/>
      <w:lvlJc w:val="left"/>
      <w:pPr>
        <w:tabs>
          <w:tab w:val="num" w:pos="5760"/>
        </w:tabs>
        <w:ind w:left="5760" w:hanging="360"/>
      </w:pPr>
      <w:rPr>
        <w:rFonts w:ascii="Times New Roman" w:hAnsi="Times New Roman" w:hint="default"/>
      </w:rPr>
    </w:lvl>
    <w:lvl w:ilvl="8" w:tplc="ECBA405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0EE5CF0"/>
    <w:multiLevelType w:val="multilevel"/>
    <w:tmpl w:val="F400677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C60982"/>
    <w:multiLevelType w:val="hybridMultilevel"/>
    <w:tmpl w:val="F39E9018"/>
    <w:lvl w:ilvl="0" w:tplc="7ABA93F4">
      <w:start w:val="1"/>
      <w:numFmt w:val="bullet"/>
      <w:lvlText w:val="•"/>
      <w:lvlJc w:val="left"/>
      <w:pPr>
        <w:tabs>
          <w:tab w:val="num" w:pos="720"/>
        </w:tabs>
        <w:ind w:left="720" w:hanging="360"/>
      </w:pPr>
      <w:rPr>
        <w:rFonts w:ascii="Times New Roman" w:hAnsi="Times New Roman" w:hint="default"/>
      </w:rPr>
    </w:lvl>
    <w:lvl w:ilvl="1" w:tplc="7B0E28EE" w:tentative="1">
      <w:start w:val="1"/>
      <w:numFmt w:val="bullet"/>
      <w:lvlText w:val="•"/>
      <w:lvlJc w:val="left"/>
      <w:pPr>
        <w:tabs>
          <w:tab w:val="num" w:pos="1440"/>
        </w:tabs>
        <w:ind w:left="1440" w:hanging="360"/>
      </w:pPr>
      <w:rPr>
        <w:rFonts w:ascii="Times New Roman" w:hAnsi="Times New Roman" w:hint="default"/>
      </w:rPr>
    </w:lvl>
    <w:lvl w:ilvl="2" w:tplc="B19084C0" w:tentative="1">
      <w:start w:val="1"/>
      <w:numFmt w:val="bullet"/>
      <w:lvlText w:val="•"/>
      <w:lvlJc w:val="left"/>
      <w:pPr>
        <w:tabs>
          <w:tab w:val="num" w:pos="2160"/>
        </w:tabs>
        <w:ind w:left="2160" w:hanging="360"/>
      </w:pPr>
      <w:rPr>
        <w:rFonts w:ascii="Times New Roman" w:hAnsi="Times New Roman" w:hint="default"/>
      </w:rPr>
    </w:lvl>
    <w:lvl w:ilvl="3" w:tplc="38F6A7F8" w:tentative="1">
      <w:start w:val="1"/>
      <w:numFmt w:val="bullet"/>
      <w:lvlText w:val="•"/>
      <w:lvlJc w:val="left"/>
      <w:pPr>
        <w:tabs>
          <w:tab w:val="num" w:pos="2880"/>
        </w:tabs>
        <w:ind w:left="2880" w:hanging="360"/>
      </w:pPr>
      <w:rPr>
        <w:rFonts w:ascii="Times New Roman" w:hAnsi="Times New Roman" w:hint="default"/>
      </w:rPr>
    </w:lvl>
    <w:lvl w:ilvl="4" w:tplc="88D48D9C" w:tentative="1">
      <w:start w:val="1"/>
      <w:numFmt w:val="bullet"/>
      <w:lvlText w:val="•"/>
      <w:lvlJc w:val="left"/>
      <w:pPr>
        <w:tabs>
          <w:tab w:val="num" w:pos="3600"/>
        </w:tabs>
        <w:ind w:left="3600" w:hanging="360"/>
      </w:pPr>
      <w:rPr>
        <w:rFonts w:ascii="Times New Roman" w:hAnsi="Times New Roman" w:hint="default"/>
      </w:rPr>
    </w:lvl>
    <w:lvl w:ilvl="5" w:tplc="16D44210" w:tentative="1">
      <w:start w:val="1"/>
      <w:numFmt w:val="bullet"/>
      <w:lvlText w:val="•"/>
      <w:lvlJc w:val="left"/>
      <w:pPr>
        <w:tabs>
          <w:tab w:val="num" w:pos="4320"/>
        </w:tabs>
        <w:ind w:left="4320" w:hanging="360"/>
      </w:pPr>
      <w:rPr>
        <w:rFonts w:ascii="Times New Roman" w:hAnsi="Times New Roman" w:hint="default"/>
      </w:rPr>
    </w:lvl>
    <w:lvl w:ilvl="6" w:tplc="D2DCC4A0" w:tentative="1">
      <w:start w:val="1"/>
      <w:numFmt w:val="bullet"/>
      <w:lvlText w:val="•"/>
      <w:lvlJc w:val="left"/>
      <w:pPr>
        <w:tabs>
          <w:tab w:val="num" w:pos="5040"/>
        </w:tabs>
        <w:ind w:left="5040" w:hanging="360"/>
      </w:pPr>
      <w:rPr>
        <w:rFonts w:ascii="Times New Roman" w:hAnsi="Times New Roman" w:hint="default"/>
      </w:rPr>
    </w:lvl>
    <w:lvl w:ilvl="7" w:tplc="A948A2A6" w:tentative="1">
      <w:start w:val="1"/>
      <w:numFmt w:val="bullet"/>
      <w:lvlText w:val="•"/>
      <w:lvlJc w:val="left"/>
      <w:pPr>
        <w:tabs>
          <w:tab w:val="num" w:pos="5760"/>
        </w:tabs>
        <w:ind w:left="5760" w:hanging="360"/>
      </w:pPr>
      <w:rPr>
        <w:rFonts w:ascii="Times New Roman" w:hAnsi="Times New Roman" w:hint="default"/>
      </w:rPr>
    </w:lvl>
    <w:lvl w:ilvl="8" w:tplc="5C82783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F855D7"/>
    <w:multiLevelType w:val="hybridMultilevel"/>
    <w:tmpl w:val="DEF85386"/>
    <w:lvl w:ilvl="0" w:tplc="9E629534">
      <w:start w:val="1"/>
      <w:numFmt w:val="bullet"/>
      <w:lvlText w:val="•"/>
      <w:lvlJc w:val="left"/>
      <w:pPr>
        <w:tabs>
          <w:tab w:val="num" w:pos="720"/>
        </w:tabs>
        <w:ind w:left="720" w:hanging="360"/>
      </w:pPr>
      <w:rPr>
        <w:rFonts w:ascii="Times New Roman" w:hAnsi="Times New Roman" w:hint="default"/>
      </w:rPr>
    </w:lvl>
    <w:lvl w:ilvl="1" w:tplc="6EDEC4B6" w:tentative="1">
      <w:start w:val="1"/>
      <w:numFmt w:val="bullet"/>
      <w:lvlText w:val="•"/>
      <w:lvlJc w:val="left"/>
      <w:pPr>
        <w:tabs>
          <w:tab w:val="num" w:pos="1440"/>
        </w:tabs>
        <w:ind w:left="1440" w:hanging="360"/>
      </w:pPr>
      <w:rPr>
        <w:rFonts w:ascii="Times New Roman" w:hAnsi="Times New Roman" w:hint="default"/>
      </w:rPr>
    </w:lvl>
    <w:lvl w:ilvl="2" w:tplc="1DEEB622" w:tentative="1">
      <w:start w:val="1"/>
      <w:numFmt w:val="bullet"/>
      <w:lvlText w:val="•"/>
      <w:lvlJc w:val="left"/>
      <w:pPr>
        <w:tabs>
          <w:tab w:val="num" w:pos="2160"/>
        </w:tabs>
        <w:ind w:left="2160" w:hanging="360"/>
      </w:pPr>
      <w:rPr>
        <w:rFonts w:ascii="Times New Roman" w:hAnsi="Times New Roman" w:hint="default"/>
      </w:rPr>
    </w:lvl>
    <w:lvl w:ilvl="3" w:tplc="B8400948" w:tentative="1">
      <w:start w:val="1"/>
      <w:numFmt w:val="bullet"/>
      <w:lvlText w:val="•"/>
      <w:lvlJc w:val="left"/>
      <w:pPr>
        <w:tabs>
          <w:tab w:val="num" w:pos="2880"/>
        </w:tabs>
        <w:ind w:left="2880" w:hanging="360"/>
      </w:pPr>
      <w:rPr>
        <w:rFonts w:ascii="Times New Roman" w:hAnsi="Times New Roman" w:hint="default"/>
      </w:rPr>
    </w:lvl>
    <w:lvl w:ilvl="4" w:tplc="7F6E0C8A" w:tentative="1">
      <w:start w:val="1"/>
      <w:numFmt w:val="bullet"/>
      <w:lvlText w:val="•"/>
      <w:lvlJc w:val="left"/>
      <w:pPr>
        <w:tabs>
          <w:tab w:val="num" w:pos="3600"/>
        </w:tabs>
        <w:ind w:left="3600" w:hanging="360"/>
      </w:pPr>
      <w:rPr>
        <w:rFonts w:ascii="Times New Roman" w:hAnsi="Times New Roman" w:hint="default"/>
      </w:rPr>
    </w:lvl>
    <w:lvl w:ilvl="5" w:tplc="5B5EAE76" w:tentative="1">
      <w:start w:val="1"/>
      <w:numFmt w:val="bullet"/>
      <w:lvlText w:val="•"/>
      <w:lvlJc w:val="left"/>
      <w:pPr>
        <w:tabs>
          <w:tab w:val="num" w:pos="4320"/>
        </w:tabs>
        <w:ind w:left="4320" w:hanging="360"/>
      </w:pPr>
      <w:rPr>
        <w:rFonts w:ascii="Times New Roman" w:hAnsi="Times New Roman" w:hint="default"/>
      </w:rPr>
    </w:lvl>
    <w:lvl w:ilvl="6" w:tplc="5CE2B448" w:tentative="1">
      <w:start w:val="1"/>
      <w:numFmt w:val="bullet"/>
      <w:lvlText w:val="•"/>
      <w:lvlJc w:val="left"/>
      <w:pPr>
        <w:tabs>
          <w:tab w:val="num" w:pos="5040"/>
        </w:tabs>
        <w:ind w:left="5040" w:hanging="360"/>
      </w:pPr>
      <w:rPr>
        <w:rFonts w:ascii="Times New Roman" w:hAnsi="Times New Roman" w:hint="default"/>
      </w:rPr>
    </w:lvl>
    <w:lvl w:ilvl="7" w:tplc="D4EE5536" w:tentative="1">
      <w:start w:val="1"/>
      <w:numFmt w:val="bullet"/>
      <w:lvlText w:val="•"/>
      <w:lvlJc w:val="left"/>
      <w:pPr>
        <w:tabs>
          <w:tab w:val="num" w:pos="5760"/>
        </w:tabs>
        <w:ind w:left="5760" w:hanging="360"/>
      </w:pPr>
      <w:rPr>
        <w:rFonts w:ascii="Times New Roman" w:hAnsi="Times New Roman" w:hint="default"/>
      </w:rPr>
    </w:lvl>
    <w:lvl w:ilvl="8" w:tplc="6A1E727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4F36141"/>
    <w:multiLevelType w:val="hybridMultilevel"/>
    <w:tmpl w:val="6FA69D66"/>
    <w:lvl w:ilvl="0" w:tplc="E736BD1A">
      <w:start w:val="1"/>
      <w:numFmt w:val="bullet"/>
      <w:lvlText w:val="•"/>
      <w:lvlJc w:val="left"/>
      <w:pPr>
        <w:tabs>
          <w:tab w:val="num" w:pos="720"/>
        </w:tabs>
        <w:ind w:left="720" w:hanging="360"/>
      </w:pPr>
      <w:rPr>
        <w:rFonts w:ascii="Times New Roman" w:hAnsi="Times New Roman" w:hint="default"/>
      </w:rPr>
    </w:lvl>
    <w:lvl w:ilvl="1" w:tplc="03D2FB04" w:tentative="1">
      <w:start w:val="1"/>
      <w:numFmt w:val="bullet"/>
      <w:lvlText w:val="•"/>
      <w:lvlJc w:val="left"/>
      <w:pPr>
        <w:tabs>
          <w:tab w:val="num" w:pos="1440"/>
        </w:tabs>
        <w:ind w:left="1440" w:hanging="360"/>
      </w:pPr>
      <w:rPr>
        <w:rFonts w:ascii="Times New Roman" w:hAnsi="Times New Roman" w:hint="default"/>
      </w:rPr>
    </w:lvl>
    <w:lvl w:ilvl="2" w:tplc="7706BAB2" w:tentative="1">
      <w:start w:val="1"/>
      <w:numFmt w:val="bullet"/>
      <w:lvlText w:val="•"/>
      <w:lvlJc w:val="left"/>
      <w:pPr>
        <w:tabs>
          <w:tab w:val="num" w:pos="2160"/>
        </w:tabs>
        <w:ind w:left="2160" w:hanging="360"/>
      </w:pPr>
      <w:rPr>
        <w:rFonts w:ascii="Times New Roman" w:hAnsi="Times New Roman" w:hint="default"/>
      </w:rPr>
    </w:lvl>
    <w:lvl w:ilvl="3" w:tplc="DDC08E8E" w:tentative="1">
      <w:start w:val="1"/>
      <w:numFmt w:val="bullet"/>
      <w:lvlText w:val="•"/>
      <w:lvlJc w:val="left"/>
      <w:pPr>
        <w:tabs>
          <w:tab w:val="num" w:pos="2880"/>
        </w:tabs>
        <w:ind w:left="2880" w:hanging="360"/>
      </w:pPr>
      <w:rPr>
        <w:rFonts w:ascii="Times New Roman" w:hAnsi="Times New Roman" w:hint="default"/>
      </w:rPr>
    </w:lvl>
    <w:lvl w:ilvl="4" w:tplc="45EAB3A8" w:tentative="1">
      <w:start w:val="1"/>
      <w:numFmt w:val="bullet"/>
      <w:lvlText w:val="•"/>
      <w:lvlJc w:val="left"/>
      <w:pPr>
        <w:tabs>
          <w:tab w:val="num" w:pos="3600"/>
        </w:tabs>
        <w:ind w:left="3600" w:hanging="360"/>
      </w:pPr>
      <w:rPr>
        <w:rFonts w:ascii="Times New Roman" w:hAnsi="Times New Roman" w:hint="default"/>
      </w:rPr>
    </w:lvl>
    <w:lvl w:ilvl="5" w:tplc="D3F6FF0C" w:tentative="1">
      <w:start w:val="1"/>
      <w:numFmt w:val="bullet"/>
      <w:lvlText w:val="•"/>
      <w:lvlJc w:val="left"/>
      <w:pPr>
        <w:tabs>
          <w:tab w:val="num" w:pos="4320"/>
        </w:tabs>
        <w:ind w:left="4320" w:hanging="360"/>
      </w:pPr>
      <w:rPr>
        <w:rFonts w:ascii="Times New Roman" w:hAnsi="Times New Roman" w:hint="default"/>
      </w:rPr>
    </w:lvl>
    <w:lvl w:ilvl="6" w:tplc="2AC2AD46" w:tentative="1">
      <w:start w:val="1"/>
      <w:numFmt w:val="bullet"/>
      <w:lvlText w:val="•"/>
      <w:lvlJc w:val="left"/>
      <w:pPr>
        <w:tabs>
          <w:tab w:val="num" w:pos="5040"/>
        </w:tabs>
        <w:ind w:left="5040" w:hanging="360"/>
      </w:pPr>
      <w:rPr>
        <w:rFonts w:ascii="Times New Roman" w:hAnsi="Times New Roman" w:hint="default"/>
      </w:rPr>
    </w:lvl>
    <w:lvl w:ilvl="7" w:tplc="0B262998" w:tentative="1">
      <w:start w:val="1"/>
      <w:numFmt w:val="bullet"/>
      <w:lvlText w:val="•"/>
      <w:lvlJc w:val="left"/>
      <w:pPr>
        <w:tabs>
          <w:tab w:val="num" w:pos="5760"/>
        </w:tabs>
        <w:ind w:left="5760" w:hanging="360"/>
      </w:pPr>
      <w:rPr>
        <w:rFonts w:ascii="Times New Roman" w:hAnsi="Times New Roman" w:hint="default"/>
      </w:rPr>
    </w:lvl>
    <w:lvl w:ilvl="8" w:tplc="1E48F32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F055A6"/>
    <w:multiLevelType w:val="hybridMultilevel"/>
    <w:tmpl w:val="61BA7D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AA5FE6"/>
    <w:multiLevelType w:val="hybridMultilevel"/>
    <w:tmpl w:val="BD388C96"/>
    <w:lvl w:ilvl="0" w:tplc="BA6AFB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E83D46"/>
    <w:multiLevelType w:val="hybridMultilevel"/>
    <w:tmpl w:val="B00C3648"/>
    <w:lvl w:ilvl="0" w:tplc="4FDE711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AB2F93"/>
    <w:multiLevelType w:val="hybridMultilevel"/>
    <w:tmpl w:val="5A1C543A"/>
    <w:lvl w:ilvl="0" w:tplc="BA224858">
      <w:start w:val="1"/>
      <w:numFmt w:val="decimal"/>
      <w:pStyle w:val="ListParagraph"/>
      <w:lvlText w:val="%1."/>
      <w:lvlJc w:val="lef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0535EEB"/>
    <w:multiLevelType w:val="hybridMultilevel"/>
    <w:tmpl w:val="28441D9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44191316">
    <w:abstractNumId w:val="8"/>
  </w:num>
  <w:num w:numId="2" w16cid:durableId="1406024913">
    <w:abstractNumId w:val="16"/>
  </w:num>
  <w:num w:numId="3" w16cid:durableId="1244335919">
    <w:abstractNumId w:val="1"/>
  </w:num>
  <w:num w:numId="4" w16cid:durableId="578712324">
    <w:abstractNumId w:val="3"/>
  </w:num>
  <w:num w:numId="5" w16cid:durableId="1937014295">
    <w:abstractNumId w:val="2"/>
  </w:num>
  <w:num w:numId="6" w16cid:durableId="1838567650">
    <w:abstractNumId w:val="12"/>
  </w:num>
  <w:num w:numId="7" w16cid:durableId="1812481576">
    <w:abstractNumId w:val="15"/>
  </w:num>
  <w:num w:numId="8" w16cid:durableId="1004363159">
    <w:abstractNumId w:val="6"/>
  </w:num>
  <w:num w:numId="9" w16cid:durableId="2059628196">
    <w:abstractNumId w:val="5"/>
  </w:num>
  <w:num w:numId="10" w16cid:durableId="1496069578">
    <w:abstractNumId w:val="13"/>
  </w:num>
  <w:num w:numId="11" w16cid:durableId="388497465">
    <w:abstractNumId w:val="4"/>
  </w:num>
  <w:num w:numId="12" w16cid:durableId="1296642972">
    <w:abstractNumId w:val="14"/>
  </w:num>
  <w:num w:numId="13" w16cid:durableId="1886212158">
    <w:abstractNumId w:val="15"/>
  </w:num>
  <w:num w:numId="14" w16cid:durableId="1839232303">
    <w:abstractNumId w:val="7"/>
  </w:num>
  <w:num w:numId="15" w16cid:durableId="350881405">
    <w:abstractNumId w:val="11"/>
  </w:num>
  <w:num w:numId="16" w16cid:durableId="1047996775">
    <w:abstractNumId w:val="9"/>
  </w:num>
  <w:num w:numId="17" w16cid:durableId="1487938030">
    <w:abstractNumId w:val="10"/>
  </w:num>
  <w:num w:numId="18" w16cid:durableId="62026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85"/>
    <w:rsid w:val="000007F8"/>
    <w:rsid w:val="000072FA"/>
    <w:rsid w:val="00007D3F"/>
    <w:rsid w:val="000101CF"/>
    <w:rsid w:val="00010C03"/>
    <w:rsid w:val="000137DF"/>
    <w:rsid w:val="00015005"/>
    <w:rsid w:val="0001725E"/>
    <w:rsid w:val="000175B7"/>
    <w:rsid w:val="00020165"/>
    <w:rsid w:val="00021F6E"/>
    <w:rsid w:val="00031885"/>
    <w:rsid w:val="00032D32"/>
    <w:rsid w:val="00033027"/>
    <w:rsid w:val="00034493"/>
    <w:rsid w:val="000346AF"/>
    <w:rsid w:val="0003762F"/>
    <w:rsid w:val="00037A1F"/>
    <w:rsid w:val="0004115B"/>
    <w:rsid w:val="00041306"/>
    <w:rsid w:val="00041A45"/>
    <w:rsid w:val="000430BE"/>
    <w:rsid w:val="00043BB0"/>
    <w:rsid w:val="00045AB0"/>
    <w:rsid w:val="000546BD"/>
    <w:rsid w:val="00056563"/>
    <w:rsid w:val="000570F3"/>
    <w:rsid w:val="0005772A"/>
    <w:rsid w:val="00064005"/>
    <w:rsid w:val="0006434A"/>
    <w:rsid w:val="00064883"/>
    <w:rsid w:val="000651C1"/>
    <w:rsid w:val="0007012D"/>
    <w:rsid w:val="00075986"/>
    <w:rsid w:val="000866E8"/>
    <w:rsid w:val="00086B8F"/>
    <w:rsid w:val="00090439"/>
    <w:rsid w:val="000909DF"/>
    <w:rsid w:val="00094580"/>
    <w:rsid w:val="000959BD"/>
    <w:rsid w:val="000975A0"/>
    <w:rsid w:val="000A4593"/>
    <w:rsid w:val="000A5353"/>
    <w:rsid w:val="000A5D2B"/>
    <w:rsid w:val="000A6BAE"/>
    <w:rsid w:val="000B255A"/>
    <w:rsid w:val="000B3275"/>
    <w:rsid w:val="000B50EE"/>
    <w:rsid w:val="000B533C"/>
    <w:rsid w:val="000B56A1"/>
    <w:rsid w:val="000B58FB"/>
    <w:rsid w:val="000B6631"/>
    <w:rsid w:val="000C4AF0"/>
    <w:rsid w:val="000C4D40"/>
    <w:rsid w:val="000D052B"/>
    <w:rsid w:val="000D247D"/>
    <w:rsid w:val="000D2AEB"/>
    <w:rsid w:val="000E3700"/>
    <w:rsid w:val="000E3DC8"/>
    <w:rsid w:val="000F0648"/>
    <w:rsid w:val="000F06BE"/>
    <w:rsid w:val="000F06C5"/>
    <w:rsid w:val="000F7E95"/>
    <w:rsid w:val="0010045C"/>
    <w:rsid w:val="00102EDF"/>
    <w:rsid w:val="00103183"/>
    <w:rsid w:val="00105672"/>
    <w:rsid w:val="0010643A"/>
    <w:rsid w:val="00117774"/>
    <w:rsid w:val="00120945"/>
    <w:rsid w:val="00121FCE"/>
    <w:rsid w:val="00122B51"/>
    <w:rsid w:val="00127DAC"/>
    <w:rsid w:val="00131DA0"/>
    <w:rsid w:val="001332C1"/>
    <w:rsid w:val="00133DB5"/>
    <w:rsid w:val="00143EDE"/>
    <w:rsid w:val="001442B1"/>
    <w:rsid w:val="001444E4"/>
    <w:rsid w:val="00150592"/>
    <w:rsid w:val="00150902"/>
    <w:rsid w:val="00152E2E"/>
    <w:rsid w:val="00153F70"/>
    <w:rsid w:val="001540B3"/>
    <w:rsid w:val="00157DE6"/>
    <w:rsid w:val="0016169D"/>
    <w:rsid w:val="00163C54"/>
    <w:rsid w:val="00165273"/>
    <w:rsid w:val="00165D8C"/>
    <w:rsid w:val="00166DF0"/>
    <w:rsid w:val="0017156D"/>
    <w:rsid w:val="0017241E"/>
    <w:rsid w:val="001737A1"/>
    <w:rsid w:val="00174B21"/>
    <w:rsid w:val="001805D4"/>
    <w:rsid w:val="001816E4"/>
    <w:rsid w:val="0018213F"/>
    <w:rsid w:val="00183447"/>
    <w:rsid w:val="0018523D"/>
    <w:rsid w:val="00185438"/>
    <w:rsid w:val="00192C2F"/>
    <w:rsid w:val="0019570C"/>
    <w:rsid w:val="00197BF0"/>
    <w:rsid w:val="001A3417"/>
    <w:rsid w:val="001A4E96"/>
    <w:rsid w:val="001A550F"/>
    <w:rsid w:val="001A55D0"/>
    <w:rsid w:val="001A55D5"/>
    <w:rsid w:val="001A5FD7"/>
    <w:rsid w:val="001B15FD"/>
    <w:rsid w:val="001B2CAC"/>
    <w:rsid w:val="001B49D8"/>
    <w:rsid w:val="001B51C8"/>
    <w:rsid w:val="001C006C"/>
    <w:rsid w:val="001C0A63"/>
    <w:rsid w:val="001C3605"/>
    <w:rsid w:val="001D40BD"/>
    <w:rsid w:val="001D5775"/>
    <w:rsid w:val="001D6BB1"/>
    <w:rsid w:val="001D7B31"/>
    <w:rsid w:val="001E5DA7"/>
    <w:rsid w:val="001E73C7"/>
    <w:rsid w:val="001F0AF2"/>
    <w:rsid w:val="001F19AD"/>
    <w:rsid w:val="001F3512"/>
    <w:rsid w:val="001F5BF6"/>
    <w:rsid w:val="001F7400"/>
    <w:rsid w:val="002021DA"/>
    <w:rsid w:val="002031A6"/>
    <w:rsid w:val="002034E9"/>
    <w:rsid w:val="00203EB8"/>
    <w:rsid w:val="00203EBB"/>
    <w:rsid w:val="002041A4"/>
    <w:rsid w:val="00204751"/>
    <w:rsid w:val="00204884"/>
    <w:rsid w:val="00207C60"/>
    <w:rsid w:val="002104F3"/>
    <w:rsid w:val="00212346"/>
    <w:rsid w:val="00212721"/>
    <w:rsid w:val="002178C1"/>
    <w:rsid w:val="002213D6"/>
    <w:rsid w:val="00223B1A"/>
    <w:rsid w:val="002242E5"/>
    <w:rsid w:val="00230CE0"/>
    <w:rsid w:val="0023123A"/>
    <w:rsid w:val="00233430"/>
    <w:rsid w:val="002353C3"/>
    <w:rsid w:val="002353E3"/>
    <w:rsid w:val="00242880"/>
    <w:rsid w:val="00242B51"/>
    <w:rsid w:val="00245FF4"/>
    <w:rsid w:val="00252B1D"/>
    <w:rsid w:val="002535D2"/>
    <w:rsid w:val="00254255"/>
    <w:rsid w:val="002659AE"/>
    <w:rsid w:val="0027054C"/>
    <w:rsid w:val="00270D6C"/>
    <w:rsid w:val="00272D5C"/>
    <w:rsid w:val="00274138"/>
    <w:rsid w:val="0027493F"/>
    <w:rsid w:val="002777C6"/>
    <w:rsid w:val="0028250C"/>
    <w:rsid w:val="002937C0"/>
    <w:rsid w:val="00295E66"/>
    <w:rsid w:val="002A2707"/>
    <w:rsid w:val="002A3AD9"/>
    <w:rsid w:val="002B4B83"/>
    <w:rsid w:val="002C2C08"/>
    <w:rsid w:val="002C3106"/>
    <w:rsid w:val="002C3D9D"/>
    <w:rsid w:val="002D3BB2"/>
    <w:rsid w:val="002E0183"/>
    <w:rsid w:val="002E0B62"/>
    <w:rsid w:val="002E0D4B"/>
    <w:rsid w:val="002E2585"/>
    <w:rsid w:val="002E580A"/>
    <w:rsid w:val="002E728B"/>
    <w:rsid w:val="002F5410"/>
    <w:rsid w:val="002F70BC"/>
    <w:rsid w:val="00302B65"/>
    <w:rsid w:val="00303F26"/>
    <w:rsid w:val="003056FF"/>
    <w:rsid w:val="00312814"/>
    <w:rsid w:val="00320FE0"/>
    <w:rsid w:val="00321BD6"/>
    <w:rsid w:val="00330139"/>
    <w:rsid w:val="00340BB8"/>
    <w:rsid w:val="003469AE"/>
    <w:rsid w:val="00347E58"/>
    <w:rsid w:val="00347EDD"/>
    <w:rsid w:val="00351761"/>
    <w:rsid w:val="00354AFC"/>
    <w:rsid w:val="00355D64"/>
    <w:rsid w:val="003561AE"/>
    <w:rsid w:val="003628CC"/>
    <w:rsid w:val="003716AD"/>
    <w:rsid w:val="0037368E"/>
    <w:rsid w:val="0038556C"/>
    <w:rsid w:val="00391CAA"/>
    <w:rsid w:val="00391DBB"/>
    <w:rsid w:val="003951B5"/>
    <w:rsid w:val="00395C53"/>
    <w:rsid w:val="00397C30"/>
    <w:rsid w:val="003A1FFC"/>
    <w:rsid w:val="003A3BC6"/>
    <w:rsid w:val="003A4B70"/>
    <w:rsid w:val="003B0AFC"/>
    <w:rsid w:val="003B0FBD"/>
    <w:rsid w:val="003C14CA"/>
    <w:rsid w:val="003D1A4E"/>
    <w:rsid w:val="003E0CBE"/>
    <w:rsid w:val="003E6E5F"/>
    <w:rsid w:val="003F13B8"/>
    <w:rsid w:val="003F1BB9"/>
    <w:rsid w:val="003F1FD1"/>
    <w:rsid w:val="003F6B58"/>
    <w:rsid w:val="00400B73"/>
    <w:rsid w:val="004033CB"/>
    <w:rsid w:val="00403A79"/>
    <w:rsid w:val="00403A94"/>
    <w:rsid w:val="004073F5"/>
    <w:rsid w:val="004149BF"/>
    <w:rsid w:val="004224E7"/>
    <w:rsid w:val="00422E9B"/>
    <w:rsid w:val="004261D0"/>
    <w:rsid w:val="00433912"/>
    <w:rsid w:val="004348E7"/>
    <w:rsid w:val="00434E85"/>
    <w:rsid w:val="004366C9"/>
    <w:rsid w:val="00436CBD"/>
    <w:rsid w:val="00442FB2"/>
    <w:rsid w:val="00445579"/>
    <w:rsid w:val="00447311"/>
    <w:rsid w:val="0045201E"/>
    <w:rsid w:val="004527FD"/>
    <w:rsid w:val="00456220"/>
    <w:rsid w:val="00457AD8"/>
    <w:rsid w:val="00463896"/>
    <w:rsid w:val="00466D32"/>
    <w:rsid w:val="004717D5"/>
    <w:rsid w:val="00473EBA"/>
    <w:rsid w:val="004754E1"/>
    <w:rsid w:val="00487F91"/>
    <w:rsid w:val="004903AE"/>
    <w:rsid w:val="00496A79"/>
    <w:rsid w:val="00497B58"/>
    <w:rsid w:val="004A0136"/>
    <w:rsid w:val="004A39A2"/>
    <w:rsid w:val="004A422C"/>
    <w:rsid w:val="004B112F"/>
    <w:rsid w:val="004B2A2C"/>
    <w:rsid w:val="004B3672"/>
    <w:rsid w:val="004C0FCF"/>
    <w:rsid w:val="004C132A"/>
    <w:rsid w:val="004C5B4F"/>
    <w:rsid w:val="004C60B4"/>
    <w:rsid w:val="004D17A9"/>
    <w:rsid w:val="004E5FD8"/>
    <w:rsid w:val="004E7A82"/>
    <w:rsid w:val="004F084B"/>
    <w:rsid w:val="004F7409"/>
    <w:rsid w:val="005006B9"/>
    <w:rsid w:val="005024E1"/>
    <w:rsid w:val="00503826"/>
    <w:rsid w:val="00506E46"/>
    <w:rsid w:val="005117AC"/>
    <w:rsid w:val="00513A2F"/>
    <w:rsid w:val="00514AE6"/>
    <w:rsid w:val="005160BD"/>
    <w:rsid w:val="00516C7D"/>
    <w:rsid w:val="005230B1"/>
    <w:rsid w:val="00530F81"/>
    <w:rsid w:val="005314E1"/>
    <w:rsid w:val="00531D16"/>
    <w:rsid w:val="0053569B"/>
    <w:rsid w:val="00535C7F"/>
    <w:rsid w:val="0054161C"/>
    <w:rsid w:val="00542BB6"/>
    <w:rsid w:val="00546446"/>
    <w:rsid w:val="00550C0C"/>
    <w:rsid w:val="0055451A"/>
    <w:rsid w:val="00560AA3"/>
    <w:rsid w:val="00563C29"/>
    <w:rsid w:val="005658F7"/>
    <w:rsid w:val="0056714E"/>
    <w:rsid w:val="00570704"/>
    <w:rsid w:val="00577562"/>
    <w:rsid w:val="00580B73"/>
    <w:rsid w:val="005826A4"/>
    <w:rsid w:val="00582F0D"/>
    <w:rsid w:val="005864FF"/>
    <w:rsid w:val="005905DD"/>
    <w:rsid w:val="00591CBD"/>
    <w:rsid w:val="005937BC"/>
    <w:rsid w:val="0059640D"/>
    <w:rsid w:val="00597B94"/>
    <w:rsid w:val="005A0EC8"/>
    <w:rsid w:val="005A1B75"/>
    <w:rsid w:val="005A58C5"/>
    <w:rsid w:val="005A5D70"/>
    <w:rsid w:val="005B4272"/>
    <w:rsid w:val="005B674C"/>
    <w:rsid w:val="005B705B"/>
    <w:rsid w:val="005B78AE"/>
    <w:rsid w:val="005B7F32"/>
    <w:rsid w:val="005C2712"/>
    <w:rsid w:val="005D1BC6"/>
    <w:rsid w:val="005D506D"/>
    <w:rsid w:val="005D7E2C"/>
    <w:rsid w:val="005F6813"/>
    <w:rsid w:val="00600419"/>
    <w:rsid w:val="006060AB"/>
    <w:rsid w:val="00607E8D"/>
    <w:rsid w:val="00607FB7"/>
    <w:rsid w:val="006133DD"/>
    <w:rsid w:val="006142B7"/>
    <w:rsid w:val="00614B14"/>
    <w:rsid w:val="00627424"/>
    <w:rsid w:val="006370CE"/>
    <w:rsid w:val="00644CE9"/>
    <w:rsid w:val="0064719A"/>
    <w:rsid w:val="00651A85"/>
    <w:rsid w:val="00652395"/>
    <w:rsid w:val="006542D4"/>
    <w:rsid w:val="006606C8"/>
    <w:rsid w:val="006631B9"/>
    <w:rsid w:val="006641C6"/>
    <w:rsid w:val="006673FE"/>
    <w:rsid w:val="006705E0"/>
    <w:rsid w:val="00672770"/>
    <w:rsid w:val="00683DA7"/>
    <w:rsid w:val="00685624"/>
    <w:rsid w:val="006A51AE"/>
    <w:rsid w:val="006A527B"/>
    <w:rsid w:val="006A7F57"/>
    <w:rsid w:val="006B1592"/>
    <w:rsid w:val="006B283D"/>
    <w:rsid w:val="006B57DC"/>
    <w:rsid w:val="006B7A2B"/>
    <w:rsid w:val="006C3B7A"/>
    <w:rsid w:val="006C5D99"/>
    <w:rsid w:val="006D0228"/>
    <w:rsid w:val="006D6475"/>
    <w:rsid w:val="006E0CB3"/>
    <w:rsid w:val="006E301E"/>
    <w:rsid w:val="006E3900"/>
    <w:rsid w:val="006E44D1"/>
    <w:rsid w:val="006E724F"/>
    <w:rsid w:val="006F628A"/>
    <w:rsid w:val="00701D67"/>
    <w:rsid w:val="0070283B"/>
    <w:rsid w:val="0070371D"/>
    <w:rsid w:val="00703789"/>
    <w:rsid w:val="0071118D"/>
    <w:rsid w:val="00711B4D"/>
    <w:rsid w:val="0071456B"/>
    <w:rsid w:val="007155D7"/>
    <w:rsid w:val="007172E3"/>
    <w:rsid w:val="0071778B"/>
    <w:rsid w:val="00720375"/>
    <w:rsid w:val="00722516"/>
    <w:rsid w:val="00723CED"/>
    <w:rsid w:val="00724602"/>
    <w:rsid w:val="00724E6B"/>
    <w:rsid w:val="007318D3"/>
    <w:rsid w:val="007359C1"/>
    <w:rsid w:val="00735A3E"/>
    <w:rsid w:val="007374D9"/>
    <w:rsid w:val="00741D85"/>
    <w:rsid w:val="0074293C"/>
    <w:rsid w:val="00743EF4"/>
    <w:rsid w:val="00745992"/>
    <w:rsid w:val="00751950"/>
    <w:rsid w:val="007542FA"/>
    <w:rsid w:val="00757292"/>
    <w:rsid w:val="0076142D"/>
    <w:rsid w:val="0077722C"/>
    <w:rsid w:val="00777397"/>
    <w:rsid w:val="007825E7"/>
    <w:rsid w:val="00793611"/>
    <w:rsid w:val="007938D2"/>
    <w:rsid w:val="0079681C"/>
    <w:rsid w:val="00796E0F"/>
    <w:rsid w:val="007A0005"/>
    <w:rsid w:val="007A4722"/>
    <w:rsid w:val="007B160A"/>
    <w:rsid w:val="007B2626"/>
    <w:rsid w:val="007B639D"/>
    <w:rsid w:val="007C0B17"/>
    <w:rsid w:val="007C39A4"/>
    <w:rsid w:val="007C3F18"/>
    <w:rsid w:val="007C3F90"/>
    <w:rsid w:val="007C449B"/>
    <w:rsid w:val="007D2FA8"/>
    <w:rsid w:val="007D3F8A"/>
    <w:rsid w:val="007D483D"/>
    <w:rsid w:val="007E0331"/>
    <w:rsid w:val="007E1329"/>
    <w:rsid w:val="007E2402"/>
    <w:rsid w:val="007E3CD6"/>
    <w:rsid w:val="007E63E8"/>
    <w:rsid w:val="007F3B5F"/>
    <w:rsid w:val="007F4CEB"/>
    <w:rsid w:val="007F4D4C"/>
    <w:rsid w:val="007F6B6C"/>
    <w:rsid w:val="008064CF"/>
    <w:rsid w:val="00807F73"/>
    <w:rsid w:val="00810398"/>
    <w:rsid w:val="00810C2B"/>
    <w:rsid w:val="008150A0"/>
    <w:rsid w:val="00816C22"/>
    <w:rsid w:val="00820AB4"/>
    <w:rsid w:val="008217F3"/>
    <w:rsid w:val="008337EF"/>
    <w:rsid w:val="008352F6"/>
    <w:rsid w:val="0084024E"/>
    <w:rsid w:val="00840DB6"/>
    <w:rsid w:val="008413FC"/>
    <w:rsid w:val="00841D0E"/>
    <w:rsid w:val="008426D3"/>
    <w:rsid w:val="00847D8C"/>
    <w:rsid w:val="0085310D"/>
    <w:rsid w:val="00853EBE"/>
    <w:rsid w:val="008571AC"/>
    <w:rsid w:val="00863609"/>
    <w:rsid w:val="008665AD"/>
    <w:rsid w:val="00871D7C"/>
    <w:rsid w:val="00873018"/>
    <w:rsid w:val="00873237"/>
    <w:rsid w:val="008755FD"/>
    <w:rsid w:val="008803A2"/>
    <w:rsid w:val="00880AFE"/>
    <w:rsid w:val="00881E3C"/>
    <w:rsid w:val="00885ACE"/>
    <w:rsid w:val="00887586"/>
    <w:rsid w:val="00892090"/>
    <w:rsid w:val="0089544C"/>
    <w:rsid w:val="0089665A"/>
    <w:rsid w:val="008A0ACF"/>
    <w:rsid w:val="008A0F85"/>
    <w:rsid w:val="008A3B46"/>
    <w:rsid w:val="008A6291"/>
    <w:rsid w:val="008A642A"/>
    <w:rsid w:val="008B09C1"/>
    <w:rsid w:val="008B7029"/>
    <w:rsid w:val="008C117E"/>
    <w:rsid w:val="008C236A"/>
    <w:rsid w:val="008C2D5E"/>
    <w:rsid w:val="008C39D5"/>
    <w:rsid w:val="008D1DC5"/>
    <w:rsid w:val="008D3551"/>
    <w:rsid w:val="008D57FB"/>
    <w:rsid w:val="008D5A68"/>
    <w:rsid w:val="008D600B"/>
    <w:rsid w:val="008E15DF"/>
    <w:rsid w:val="008E6901"/>
    <w:rsid w:val="008F0203"/>
    <w:rsid w:val="008F262B"/>
    <w:rsid w:val="008F4B85"/>
    <w:rsid w:val="008F74F8"/>
    <w:rsid w:val="00900F10"/>
    <w:rsid w:val="00901CE5"/>
    <w:rsid w:val="0090223A"/>
    <w:rsid w:val="009059C0"/>
    <w:rsid w:val="009076DA"/>
    <w:rsid w:val="00907728"/>
    <w:rsid w:val="0091262E"/>
    <w:rsid w:val="009130F8"/>
    <w:rsid w:val="009148DC"/>
    <w:rsid w:val="00915EF0"/>
    <w:rsid w:val="009253F2"/>
    <w:rsid w:val="00925CB7"/>
    <w:rsid w:val="00925CF7"/>
    <w:rsid w:val="00925D55"/>
    <w:rsid w:val="00926691"/>
    <w:rsid w:val="00927694"/>
    <w:rsid w:val="00940687"/>
    <w:rsid w:val="009417F7"/>
    <w:rsid w:val="00941AB8"/>
    <w:rsid w:val="00945366"/>
    <w:rsid w:val="00946FF7"/>
    <w:rsid w:val="00952FA4"/>
    <w:rsid w:val="009564B5"/>
    <w:rsid w:val="0095698F"/>
    <w:rsid w:val="00956B34"/>
    <w:rsid w:val="009665F6"/>
    <w:rsid w:val="0097034C"/>
    <w:rsid w:val="0097034E"/>
    <w:rsid w:val="009731F0"/>
    <w:rsid w:val="00974874"/>
    <w:rsid w:val="00977B56"/>
    <w:rsid w:val="009822DA"/>
    <w:rsid w:val="00982A00"/>
    <w:rsid w:val="009856DB"/>
    <w:rsid w:val="009858C9"/>
    <w:rsid w:val="0099049D"/>
    <w:rsid w:val="0099130E"/>
    <w:rsid w:val="0099334A"/>
    <w:rsid w:val="009934CB"/>
    <w:rsid w:val="00997814"/>
    <w:rsid w:val="009A00E3"/>
    <w:rsid w:val="009A0F46"/>
    <w:rsid w:val="009A32FE"/>
    <w:rsid w:val="009A3F07"/>
    <w:rsid w:val="009A40FF"/>
    <w:rsid w:val="009A5ADB"/>
    <w:rsid w:val="009A6632"/>
    <w:rsid w:val="009B0FB5"/>
    <w:rsid w:val="009B249B"/>
    <w:rsid w:val="009B32A9"/>
    <w:rsid w:val="009B68D9"/>
    <w:rsid w:val="009B79BD"/>
    <w:rsid w:val="009B7C9B"/>
    <w:rsid w:val="009C0DF3"/>
    <w:rsid w:val="009C39F0"/>
    <w:rsid w:val="009C6339"/>
    <w:rsid w:val="009C66E4"/>
    <w:rsid w:val="009C743C"/>
    <w:rsid w:val="009D2F68"/>
    <w:rsid w:val="009D4E32"/>
    <w:rsid w:val="009D5E80"/>
    <w:rsid w:val="009D6CF5"/>
    <w:rsid w:val="009E0955"/>
    <w:rsid w:val="009E6AD3"/>
    <w:rsid w:val="009E7EB3"/>
    <w:rsid w:val="009F0769"/>
    <w:rsid w:val="00A00766"/>
    <w:rsid w:val="00A0411D"/>
    <w:rsid w:val="00A07EB7"/>
    <w:rsid w:val="00A15F52"/>
    <w:rsid w:val="00A173FD"/>
    <w:rsid w:val="00A20C67"/>
    <w:rsid w:val="00A2319F"/>
    <w:rsid w:val="00A270D2"/>
    <w:rsid w:val="00A3074D"/>
    <w:rsid w:val="00A32F2C"/>
    <w:rsid w:val="00A335AE"/>
    <w:rsid w:val="00A33D92"/>
    <w:rsid w:val="00A364DA"/>
    <w:rsid w:val="00A407B2"/>
    <w:rsid w:val="00A42762"/>
    <w:rsid w:val="00A47C48"/>
    <w:rsid w:val="00A47EE0"/>
    <w:rsid w:val="00A52CA3"/>
    <w:rsid w:val="00A541A2"/>
    <w:rsid w:val="00A601A4"/>
    <w:rsid w:val="00A60626"/>
    <w:rsid w:val="00A630EB"/>
    <w:rsid w:val="00A632D9"/>
    <w:rsid w:val="00A66FC5"/>
    <w:rsid w:val="00A67128"/>
    <w:rsid w:val="00A67466"/>
    <w:rsid w:val="00A67E93"/>
    <w:rsid w:val="00A714E1"/>
    <w:rsid w:val="00A83CFD"/>
    <w:rsid w:val="00A83F33"/>
    <w:rsid w:val="00A944B0"/>
    <w:rsid w:val="00A94658"/>
    <w:rsid w:val="00A948B4"/>
    <w:rsid w:val="00A97051"/>
    <w:rsid w:val="00AA0290"/>
    <w:rsid w:val="00AA799B"/>
    <w:rsid w:val="00AB165F"/>
    <w:rsid w:val="00AB19A1"/>
    <w:rsid w:val="00AB74BD"/>
    <w:rsid w:val="00AC0DBC"/>
    <w:rsid w:val="00AD14C8"/>
    <w:rsid w:val="00AD18D4"/>
    <w:rsid w:val="00AD223D"/>
    <w:rsid w:val="00AD28E8"/>
    <w:rsid w:val="00AD6E24"/>
    <w:rsid w:val="00AE4802"/>
    <w:rsid w:val="00AE5C6F"/>
    <w:rsid w:val="00AF7B0D"/>
    <w:rsid w:val="00B00549"/>
    <w:rsid w:val="00B01256"/>
    <w:rsid w:val="00B035DD"/>
    <w:rsid w:val="00B03D60"/>
    <w:rsid w:val="00B04B47"/>
    <w:rsid w:val="00B068C8"/>
    <w:rsid w:val="00B1030A"/>
    <w:rsid w:val="00B115B0"/>
    <w:rsid w:val="00B13470"/>
    <w:rsid w:val="00B1449C"/>
    <w:rsid w:val="00B159E9"/>
    <w:rsid w:val="00B17E48"/>
    <w:rsid w:val="00B216D1"/>
    <w:rsid w:val="00B218DC"/>
    <w:rsid w:val="00B24A5D"/>
    <w:rsid w:val="00B25C5B"/>
    <w:rsid w:val="00B26BA9"/>
    <w:rsid w:val="00B30CEE"/>
    <w:rsid w:val="00B31371"/>
    <w:rsid w:val="00B33EEC"/>
    <w:rsid w:val="00B34E45"/>
    <w:rsid w:val="00B4108F"/>
    <w:rsid w:val="00B41F34"/>
    <w:rsid w:val="00B42F74"/>
    <w:rsid w:val="00B4592D"/>
    <w:rsid w:val="00B505DF"/>
    <w:rsid w:val="00B53D51"/>
    <w:rsid w:val="00B55394"/>
    <w:rsid w:val="00B56145"/>
    <w:rsid w:val="00B5628D"/>
    <w:rsid w:val="00B61EC5"/>
    <w:rsid w:val="00B62B0C"/>
    <w:rsid w:val="00B6669B"/>
    <w:rsid w:val="00B667E6"/>
    <w:rsid w:val="00B67B81"/>
    <w:rsid w:val="00B715D2"/>
    <w:rsid w:val="00B76A05"/>
    <w:rsid w:val="00B918A0"/>
    <w:rsid w:val="00B91E0A"/>
    <w:rsid w:val="00B92F2B"/>
    <w:rsid w:val="00B9692E"/>
    <w:rsid w:val="00BA12B7"/>
    <w:rsid w:val="00BA5AD7"/>
    <w:rsid w:val="00BB1783"/>
    <w:rsid w:val="00BB545A"/>
    <w:rsid w:val="00BC2DA8"/>
    <w:rsid w:val="00BC625E"/>
    <w:rsid w:val="00BC7228"/>
    <w:rsid w:val="00BC752E"/>
    <w:rsid w:val="00BD0642"/>
    <w:rsid w:val="00BD2A14"/>
    <w:rsid w:val="00BD2E8D"/>
    <w:rsid w:val="00BD33A3"/>
    <w:rsid w:val="00BD42D8"/>
    <w:rsid w:val="00BD4471"/>
    <w:rsid w:val="00BE3107"/>
    <w:rsid w:val="00BE34C4"/>
    <w:rsid w:val="00BE48B7"/>
    <w:rsid w:val="00BE4F8C"/>
    <w:rsid w:val="00BE7E76"/>
    <w:rsid w:val="00BF0CA7"/>
    <w:rsid w:val="00BF1574"/>
    <w:rsid w:val="00BF42A3"/>
    <w:rsid w:val="00BF58B7"/>
    <w:rsid w:val="00C0088C"/>
    <w:rsid w:val="00C0550B"/>
    <w:rsid w:val="00C06EFE"/>
    <w:rsid w:val="00C12029"/>
    <w:rsid w:val="00C12312"/>
    <w:rsid w:val="00C14C7D"/>
    <w:rsid w:val="00C23965"/>
    <w:rsid w:val="00C23A35"/>
    <w:rsid w:val="00C26626"/>
    <w:rsid w:val="00C26973"/>
    <w:rsid w:val="00C34CAA"/>
    <w:rsid w:val="00C36BC0"/>
    <w:rsid w:val="00C41F75"/>
    <w:rsid w:val="00C473AD"/>
    <w:rsid w:val="00C5212A"/>
    <w:rsid w:val="00C535E2"/>
    <w:rsid w:val="00C622E4"/>
    <w:rsid w:val="00C62E0C"/>
    <w:rsid w:val="00C73C56"/>
    <w:rsid w:val="00C84216"/>
    <w:rsid w:val="00C86152"/>
    <w:rsid w:val="00C865FB"/>
    <w:rsid w:val="00C87655"/>
    <w:rsid w:val="00C92F00"/>
    <w:rsid w:val="00C931D8"/>
    <w:rsid w:val="00C95A4C"/>
    <w:rsid w:val="00C97A1C"/>
    <w:rsid w:val="00CA62CB"/>
    <w:rsid w:val="00CA7361"/>
    <w:rsid w:val="00CA7CB6"/>
    <w:rsid w:val="00CB2CC0"/>
    <w:rsid w:val="00CB547B"/>
    <w:rsid w:val="00CC52CE"/>
    <w:rsid w:val="00CC6C09"/>
    <w:rsid w:val="00CD4355"/>
    <w:rsid w:val="00CD4DE7"/>
    <w:rsid w:val="00CD56E6"/>
    <w:rsid w:val="00CD57CE"/>
    <w:rsid w:val="00CD7AA3"/>
    <w:rsid w:val="00CE4D2E"/>
    <w:rsid w:val="00CE7C17"/>
    <w:rsid w:val="00CF3E19"/>
    <w:rsid w:val="00CF46F3"/>
    <w:rsid w:val="00D073A3"/>
    <w:rsid w:val="00D07EF7"/>
    <w:rsid w:val="00D1060D"/>
    <w:rsid w:val="00D12739"/>
    <w:rsid w:val="00D12C0F"/>
    <w:rsid w:val="00D12D7F"/>
    <w:rsid w:val="00D14017"/>
    <w:rsid w:val="00D2332E"/>
    <w:rsid w:val="00D2552C"/>
    <w:rsid w:val="00D33BDE"/>
    <w:rsid w:val="00D3585C"/>
    <w:rsid w:val="00D364CC"/>
    <w:rsid w:val="00D37ABD"/>
    <w:rsid w:val="00D40581"/>
    <w:rsid w:val="00D43C41"/>
    <w:rsid w:val="00D47A1E"/>
    <w:rsid w:val="00D546E8"/>
    <w:rsid w:val="00D549AB"/>
    <w:rsid w:val="00D578DF"/>
    <w:rsid w:val="00D57BA3"/>
    <w:rsid w:val="00D63237"/>
    <w:rsid w:val="00D65D40"/>
    <w:rsid w:val="00D7291C"/>
    <w:rsid w:val="00D730C1"/>
    <w:rsid w:val="00D732C3"/>
    <w:rsid w:val="00D734A1"/>
    <w:rsid w:val="00D769A9"/>
    <w:rsid w:val="00D80CED"/>
    <w:rsid w:val="00D80EEE"/>
    <w:rsid w:val="00D84A0F"/>
    <w:rsid w:val="00D8534C"/>
    <w:rsid w:val="00D853E3"/>
    <w:rsid w:val="00D85AA4"/>
    <w:rsid w:val="00D917FE"/>
    <w:rsid w:val="00D944B3"/>
    <w:rsid w:val="00D97B92"/>
    <w:rsid w:val="00DA1A5F"/>
    <w:rsid w:val="00DA522E"/>
    <w:rsid w:val="00DA5856"/>
    <w:rsid w:val="00DB1A40"/>
    <w:rsid w:val="00DB7168"/>
    <w:rsid w:val="00DB7C2C"/>
    <w:rsid w:val="00DC05B1"/>
    <w:rsid w:val="00DC18C4"/>
    <w:rsid w:val="00DC7DB2"/>
    <w:rsid w:val="00DD110C"/>
    <w:rsid w:val="00DD1707"/>
    <w:rsid w:val="00DD3304"/>
    <w:rsid w:val="00DD636D"/>
    <w:rsid w:val="00DE2483"/>
    <w:rsid w:val="00DE2880"/>
    <w:rsid w:val="00DE60C5"/>
    <w:rsid w:val="00DE646A"/>
    <w:rsid w:val="00DE76AD"/>
    <w:rsid w:val="00DF4AAE"/>
    <w:rsid w:val="00DF5E63"/>
    <w:rsid w:val="00E06F22"/>
    <w:rsid w:val="00E11669"/>
    <w:rsid w:val="00E13D7C"/>
    <w:rsid w:val="00E14165"/>
    <w:rsid w:val="00E16C91"/>
    <w:rsid w:val="00E22FDF"/>
    <w:rsid w:val="00E23B5B"/>
    <w:rsid w:val="00E2527B"/>
    <w:rsid w:val="00E3579A"/>
    <w:rsid w:val="00E35832"/>
    <w:rsid w:val="00E4243D"/>
    <w:rsid w:val="00E47A95"/>
    <w:rsid w:val="00E5248A"/>
    <w:rsid w:val="00E53D75"/>
    <w:rsid w:val="00E609AD"/>
    <w:rsid w:val="00E60E8C"/>
    <w:rsid w:val="00E62AE0"/>
    <w:rsid w:val="00E631D8"/>
    <w:rsid w:val="00E664AF"/>
    <w:rsid w:val="00E67408"/>
    <w:rsid w:val="00E67EDD"/>
    <w:rsid w:val="00E74DB7"/>
    <w:rsid w:val="00E76552"/>
    <w:rsid w:val="00E77BF4"/>
    <w:rsid w:val="00E907C3"/>
    <w:rsid w:val="00E92716"/>
    <w:rsid w:val="00E93EE7"/>
    <w:rsid w:val="00EA1757"/>
    <w:rsid w:val="00EA403D"/>
    <w:rsid w:val="00EB1579"/>
    <w:rsid w:val="00EB4C37"/>
    <w:rsid w:val="00EB56EB"/>
    <w:rsid w:val="00EB768F"/>
    <w:rsid w:val="00EB7DF7"/>
    <w:rsid w:val="00EC0AB0"/>
    <w:rsid w:val="00EC5D67"/>
    <w:rsid w:val="00EC7250"/>
    <w:rsid w:val="00ED014F"/>
    <w:rsid w:val="00ED13F1"/>
    <w:rsid w:val="00ED4B3E"/>
    <w:rsid w:val="00ED50DD"/>
    <w:rsid w:val="00ED6ABC"/>
    <w:rsid w:val="00ED74B7"/>
    <w:rsid w:val="00ED7AAB"/>
    <w:rsid w:val="00ED7ECB"/>
    <w:rsid w:val="00ED7F3D"/>
    <w:rsid w:val="00EE2F47"/>
    <w:rsid w:val="00EE3510"/>
    <w:rsid w:val="00EE43DF"/>
    <w:rsid w:val="00EE6572"/>
    <w:rsid w:val="00EE664F"/>
    <w:rsid w:val="00EE68DF"/>
    <w:rsid w:val="00EE7933"/>
    <w:rsid w:val="00EE7DDB"/>
    <w:rsid w:val="00EF294F"/>
    <w:rsid w:val="00EF3E72"/>
    <w:rsid w:val="00EF5EED"/>
    <w:rsid w:val="00EF6052"/>
    <w:rsid w:val="00EF7949"/>
    <w:rsid w:val="00F026E6"/>
    <w:rsid w:val="00F03702"/>
    <w:rsid w:val="00F03FE6"/>
    <w:rsid w:val="00F07EC1"/>
    <w:rsid w:val="00F11FA5"/>
    <w:rsid w:val="00F12681"/>
    <w:rsid w:val="00F12D91"/>
    <w:rsid w:val="00F1362C"/>
    <w:rsid w:val="00F1391E"/>
    <w:rsid w:val="00F23446"/>
    <w:rsid w:val="00F24342"/>
    <w:rsid w:val="00F31373"/>
    <w:rsid w:val="00F317DB"/>
    <w:rsid w:val="00F31D35"/>
    <w:rsid w:val="00F32D3F"/>
    <w:rsid w:val="00F47606"/>
    <w:rsid w:val="00F511A7"/>
    <w:rsid w:val="00F621C2"/>
    <w:rsid w:val="00F66426"/>
    <w:rsid w:val="00F6649C"/>
    <w:rsid w:val="00F66C61"/>
    <w:rsid w:val="00F72387"/>
    <w:rsid w:val="00F75463"/>
    <w:rsid w:val="00F77513"/>
    <w:rsid w:val="00F81019"/>
    <w:rsid w:val="00F86625"/>
    <w:rsid w:val="00F902F6"/>
    <w:rsid w:val="00F94984"/>
    <w:rsid w:val="00F954A6"/>
    <w:rsid w:val="00F958E8"/>
    <w:rsid w:val="00F9753D"/>
    <w:rsid w:val="00FA0D87"/>
    <w:rsid w:val="00FA281C"/>
    <w:rsid w:val="00FB3396"/>
    <w:rsid w:val="00FC7D5A"/>
    <w:rsid w:val="00FD0C0E"/>
    <w:rsid w:val="00FD380D"/>
    <w:rsid w:val="00FD7BCB"/>
    <w:rsid w:val="00FE3129"/>
    <w:rsid w:val="00FE3B9A"/>
    <w:rsid w:val="00FE3EE4"/>
    <w:rsid w:val="00FF0B68"/>
    <w:rsid w:val="00FF195C"/>
    <w:rsid w:val="00FF2BAF"/>
    <w:rsid w:val="00FF3422"/>
    <w:rsid w:val="0104A1D4"/>
    <w:rsid w:val="039DA6BC"/>
    <w:rsid w:val="0419300B"/>
    <w:rsid w:val="1C3E93A3"/>
    <w:rsid w:val="1EA7123A"/>
    <w:rsid w:val="2CE958A0"/>
    <w:rsid w:val="3A6536B8"/>
    <w:rsid w:val="5B1FB139"/>
    <w:rsid w:val="62FB84A4"/>
    <w:rsid w:val="73A87B05"/>
    <w:rsid w:val="759850DC"/>
    <w:rsid w:val="76A866C9"/>
    <w:rsid w:val="7FDA95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8168"/>
  <w15:chartTrackingRefBased/>
  <w15:docId w15:val="{B6F77186-6D21-49AE-BC66-E156F5AF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50C"/>
    <w:pPr>
      <w:tabs>
        <w:tab w:val="center" w:pos="3325"/>
      </w:tabs>
      <w:spacing w:after="120"/>
    </w:pPr>
  </w:style>
  <w:style w:type="paragraph" w:styleId="Heading1">
    <w:name w:val="heading 1"/>
    <w:next w:val="Normal"/>
    <w:link w:val="Heading1Char"/>
    <w:uiPriority w:val="9"/>
    <w:qFormat/>
    <w:rsid w:val="00165273"/>
    <w:pPr>
      <w:keepNext/>
      <w:keepLines/>
      <w:shd w:val="clear" w:color="auto" w:fill="FBE4D5" w:themeFill="accent2" w:themeFillTint="33"/>
      <w:spacing w:before="320" w:after="0" w:line="240" w:lineRule="auto"/>
      <w:ind w:left="360" w:hanging="360"/>
      <w:outlineLvl w:val="0"/>
    </w:pPr>
    <w:rPr>
      <w:rFonts w:ascii="Aptos" w:eastAsiaTheme="majorEastAsia" w:hAnsi="Aptos"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0FB5"/>
    <w:pPr>
      <w:keepNext/>
      <w:keepLines/>
      <w:tabs>
        <w:tab w:val="clear" w:pos="3325"/>
      </w:tabs>
      <w:spacing w:before="80" w:after="0" w:line="240" w:lineRule="auto"/>
      <w:ind w:left="426" w:hanging="432"/>
      <w:outlineLvl w:val="1"/>
    </w:pPr>
    <w:rPr>
      <w:rFonts w:ascii="Aptos" w:eastAsiaTheme="majorEastAsia" w:hAnsi="Aptos" w:cs="Segoe UI Light"/>
      <w:color w:val="404040" w:themeColor="text1" w:themeTint="BF"/>
      <w:sz w:val="28"/>
      <w:szCs w:val="28"/>
    </w:rPr>
  </w:style>
  <w:style w:type="paragraph" w:styleId="Heading3">
    <w:name w:val="heading 3"/>
    <w:basedOn w:val="Normal"/>
    <w:next w:val="Normal"/>
    <w:link w:val="Heading3Char"/>
    <w:uiPriority w:val="9"/>
    <w:unhideWhenUsed/>
    <w:qFormat/>
    <w:rsid w:val="00355D64"/>
    <w:pPr>
      <w:keepNext/>
      <w:keepLines/>
      <w:tabs>
        <w:tab w:val="clear" w:pos="3325"/>
        <w:tab w:val="center" w:pos="1985"/>
      </w:tab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25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F2B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2E2585"/>
    <w:pPr>
      <w:spacing w:after="0" w:line="265" w:lineRule="auto"/>
    </w:pPr>
    <w:rPr>
      <w:rFonts w:ascii="Calibri" w:eastAsia="Calibri" w:hAnsi="Calibri" w:cs="Calibri"/>
      <w:color w:val="000000"/>
      <w:sz w:val="20"/>
      <w:lang w:eastAsia="en-AU"/>
    </w:rPr>
  </w:style>
  <w:style w:type="character" w:customStyle="1" w:styleId="footnotedescriptionChar">
    <w:name w:val="footnote description Char"/>
    <w:link w:val="footnotedescription"/>
    <w:rsid w:val="002E2585"/>
    <w:rPr>
      <w:rFonts w:ascii="Calibri" w:eastAsia="Calibri" w:hAnsi="Calibri" w:cs="Calibri"/>
      <w:color w:val="000000"/>
      <w:sz w:val="20"/>
      <w:lang w:eastAsia="en-AU"/>
    </w:rPr>
  </w:style>
  <w:style w:type="character" w:customStyle="1" w:styleId="footnotemark">
    <w:name w:val="footnote mark"/>
    <w:hidden/>
    <w:rsid w:val="002E2585"/>
    <w:rPr>
      <w:rFonts w:ascii="Calibri" w:eastAsia="Calibri" w:hAnsi="Calibri" w:cs="Calibri"/>
      <w:color w:val="7F7F7F"/>
      <w:sz w:val="20"/>
      <w:vertAlign w:val="superscript"/>
    </w:rPr>
  </w:style>
  <w:style w:type="table" w:customStyle="1" w:styleId="TableGrid0">
    <w:name w:val="TableGrid"/>
    <w:rsid w:val="002E2585"/>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65273"/>
    <w:rPr>
      <w:rFonts w:ascii="Aptos" w:eastAsiaTheme="majorEastAsia" w:hAnsi="Aptos" w:cstheme="majorBidi"/>
      <w:color w:val="2F5496" w:themeColor="accent1" w:themeShade="BF"/>
      <w:sz w:val="32"/>
      <w:szCs w:val="32"/>
      <w:shd w:val="clear" w:color="auto" w:fill="FBE4D5" w:themeFill="accent2" w:themeFillTint="33"/>
    </w:rPr>
  </w:style>
  <w:style w:type="paragraph" w:customStyle="1" w:styleId="Default">
    <w:name w:val="Default"/>
    <w:rsid w:val="002E2585"/>
    <w:pPr>
      <w:autoSpaceDE w:val="0"/>
      <w:autoSpaceDN w:val="0"/>
      <w:adjustRightInd w:val="0"/>
      <w:spacing w:after="0" w:line="240" w:lineRule="auto"/>
    </w:pPr>
    <w:rPr>
      <w:rFonts w:ascii="Calibri" w:eastAsiaTheme="minorEastAsia" w:hAnsi="Calibri" w:cs="Calibri"/>
      <w:color w:val="000000"/>
      <w:sz w:val="24"/>
      <w:szCs w:val="24"/>
      <w:lang w:eastAsia="en-AU"/>
    </w:rPr>
  </w:style>
  <w:style w:type="character" w:styleId="CommentReference">
    <w:name w:val="annotation reference"/>
    <w:basedOn w:val="DefaultParagraphFont"/>
    <w:uiPriority w:val="99"/>
    <w:semiHidden/>
    <w:unhideWhenUsed/>
    <w:rsid w:val="002E2585"/>
    <w:rPr>
      <w:sz w:val="16"/>
      <w:szCs w:val="16"/>
    </w:rPr>
  </w:style>
  <w:style w:type="paragraph" w:styleId="CommentText">
    <w:name w:val="annotation text"/>
    <w:basedOn w:val="Normal"/>
    <w:link w:val="CommentTextChar"/>
    <w:uiPriority w:val="99"/>
    <w:unhideWhenUsed/>
    <w:rsid w:val="002E2585"/>
    <w:pPr>
      <w:pBdr>
        <w:top w:val="single" w:sz="4" w:space="0" w:color="808080"/>
        <w:left w:val="single" w:sz="4" w:space="0" w:color="808080"/>
        <w:bottom w:val="single" w:sz="4" w:space="0" w:color="808080"/>
        <w:right w:val="single" w:sz="4" w:space="0" w:color="808080"/>
      </w:pBdr>
      <w:shd w:val="clear" w:color="auto" w:fill="DBE5F1"/>
      <w:spacing w:after="12" w:line="240" w:lineRule="auto"/>
      <w:ind w:left="401" w:hanging="10"/>
    </w:pPr>
    <w:rPr>
      <w:rFonts w:ascii="Calibri" w:eastAsia="Calibri" w:hAnsi="Calibri" w:cs="Calibri"/>
      <w:color w:val="000000"/>
      <w:sz w:val="20"/>
      <w:szCs w:val="20"/>
      <w:lang w:eastAsia="en-AU"/>
    </w:rPr>
  </w:style>
  <w:style w:type="character" w:customStyle="1" w:styleId="CommentTextChar">
    <w:name w:val="Comment Text Char"/>
    <w:basedOn w:val="DefaultParagraphFont"/>
    <w:link w:val="CommentText"/>
    <w:uiPriority w:val="99"/>
    <w:rsid w:val="002E2585"/>
    <w:rPr>
      <w:rFonts w:ascii="Calibri" w:eastAsia="Calibri" w:hAnsi="Calibri" w:cs="Calibri"/>
      <w:color w:val="000000"/>
      <w:sz w:val="20"/>
      <w:szCs w:val="20"/>
      <w:shd w:val="clear" w:color="auto" w:fill="DBE5F1"/>
      <w:lang w:eastAsia="en-AU"/>
    </w:rPr>
  </w:style>
  <w:style w:type="paragraph" w:styleId="ListParagraph">
    <w:name w:val="List Paragraph"/>
    <w:basedOn w:val="Normal"/>
    <w:uiPriority w:val="34"/>
    <w:qFormat/>
    <w:rsid w:val="0028250C"/>
    <w:pPr>
      <w:numPr>
        <w:numId w:val="7"/>
      </w:numPr>
      <w:spacing w:line="240" w:lineRule="auto"/>
    </w:pPr>
    <w:rPr>
      <w:rFonts w:ascii="Calibri" w:eastAsia="Calibri" w:hAnsi="Calibri" w:cs="Calibri"/>
      <w:lang w:eastAsia="en-AU"/>
    </w:rPr>
  </w:style>
  <w:style w:type="paragraph" w:styleId="Header">
    <w:name w:val="header"/>
    <w:basedOn w:val="Normal"/>
    <w:link w:val="HeaderChar"/>
    <w:uiPriority w:val="99"/>
    <w:unhideWhenUsed/>
    <w:rsid w:val="002E2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585"/>
  </w:style>
  <w:style w:type="paragraph" w:styleId="Footer">
    <w:name w:val="footer"/>
    <w:basedOn w:val="Normal"/>
    <w:link w:val="FooterChar"/>
    <w:uiPriority w:val="99"/>
    <w:unhideWhenUsed/>
    <w:rsid w:val="002E2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585"/>
  </w:style>
  <w:style w:type="character" w:customStyle="1" w:styleId="Heading2Char">
    <w:name w:val="Heading 2 Char"/>
    <w:basedOn w:val="DefaultParagraphFont"/>
    <w:link w:val="Heading2"/>
    <w:uiPriority w:val="9"/>
    <w:rsid w:val="009B0FB5"/>
    <w:rPr>
      <w:rFonts w:ascii="Aptos" w:eastAsiaTheme="majorEastAsia" w:hAnsi="Aptos" w:cs="Segoe UI Light"/>
      <w:color w:val="404040" w:themeColor="text1" w:themeTint="BF"/>
      <w:sz w:val="28"/>
      <w:szCs w:val="28"/>
    </w:rPr>
  </w:style>
  <w:style w:type="character" w:customStyle="1" w:styleId="Heading3Char">
    <w:name w:val="Heading 3 Char"/>
    <w:basedOn w:val="DefaultParagraphFont"/>
    <w:link w:val="Heading3"/>
    <w:uiPriority w:val="9"/>
    <w:rsid w:val="00355D6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D18D4"/>
    <w:rPr>
      <w:color w:val="0563C1" w:themeColor="hyperlink"/>
      <w:u w:val="single"/>
    </w:rPr>
  </w:style>
  <w:style w:type="paragraph" w:styleId="TOCHeading">
    <w:name w:val="TOC Heading"/>
    <w:basedOn w:val="Heading1"/>
    <w:next w:val="Normal"/>
    <w:uiPriority w:val="39"/>
    <w:unhideWhenUsed/>
    <w:qFormat/>
    <w:rsid w:val="00F958E8"/>
    <w:pPr>
      <w:spacing w:before="240"/>
      <w:ind w:left="0" w:firstLine="0"/>
      <w:outlineLvl w:val="9"/>
    </w:pPr>
    <w:rPr>
      <w:rFonts w:asciiTheme="majorHAnsi" w:hAnsiTheme="majorHAnsi"/>
      <w:b/>
      <w:lang w:val="en-US"/>
    </w:rPr>
  </w:style>
  <w:style w:type="paragraph" w:styleId="TOC1">
    <w:name w:val="toc 1"/>
    <w:basedOn w:val="Normal"/>
    <w:next w:val="Normal"/>
    <w:autoRedefine/>
    <w:uiPriority w:val="39"/>
    <w:unhideWhenUsed/>
    <w:rsid w:val="006E0CB3"/>
    <w:pPr>
      <w:tabs>
        <w:tab w:val="clear" w:pos="3325"/>
        <w:tab w:val="right" w:leader="dot" w:pos="9016"/>
      </w:tabs>
      <w:spacing w:before="120"/>
    </w:pPr>
    <w:rPr>
      <w:rFonts w:cstheme="minorHAnsi"/>
      <w:b/>
      <w:bCs/>
      <w:caps/>
      <w:noProof/>
      <w:color w:val="427A38"/>
      <w:sz w:val="20"/>
      <w:szCs w:val="20"/>
    </w:rPr>
  </w:style>
  <w:style w:type="paragraph" w:styleId="TOC2">
    <w:name w:val="toc 2"/>
    <w:basedOn w:val="Normal"/>
    <w:next w:val="Normal"/>
    <w:autoRedefine/>
    <w:uiPriority w:val="39"/>
    <w:unhideWhenUsed/>
    <w:rsid w:val="00F958E8"/>
    <w:pPr>
      <w:tabs>
        <w:tab w:val="clear" w:pos="3325"/>
      </w:tabs>
      <w:spacing w:after="0"/>
      <w:ind w:left="220"/>
    </w:pPr>
    <w:rPr>
      <w:rFonts w:cstheme="minorHAnsi"/>
      <w:smallCaps/>
      <w:sz w:val="20"/>
      <w:szCs w:val="20"/>
    </w:rPr>
  </w:style>
  <w:style w:type="paragraph" w:styleId="TOC3">
    <w:name w:val="toc 3"/>
    <w:basedOn w:val="Normal"/>
    <w:next w:val="Normal"/>
    <w:autoRedefine/>
    <w:uiPriority w:val="39"/>
    <w:unhideWhenUsed/>
    <w:rsid w:val="00F958E8"/>
    <w:pPr>
      <w:tabs>
        <w:tab w:val="clear" w:pos="3325"/>
      </w:tabs>
      <w:spacing w:after="0"/>
      <w:ind w:left="440"/>
    </w:pPr>
    <w:rPr>
      <w:rFonts w:cstheme="minorHAnsi"/>
      <w:i/>
      <w:iCs/>
      <w:sz w:val="20"/>
      <w:szCs w:val="20"/>
    </w:rPr>
  </w:style>
  <w:style w:type="table" w:styleId="ListTable1Light">
    <w:name w:val="List Table 1 Light"/>
    <w:basedOn w:val="TableNormal"/>
    <w:uiPriority w:val="46"/>
    <w:rsid w:val="006B159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0344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0A5D2B"/>
    <w:pPr>
      <w:pBdr>
        <w:top w:val="none" w:sz="0" w:space="0" w:color="auto"/>
        <w:left w:val="none" w:sz="0" w:space="0" w:color="auto"/>
        <w:bottom w:val="none" w:sz="0" w:space="0" w:color="auto"/>
        <w:right w:val="none" w:sz="0" w:space="0" w:color="auto"/>
      </w:pBdr>
      <w:shd w:val="clear" w:color="auto" w:fill="auto"/>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A5D2B"/>
    <w:rPr>
      <w:rFonts w:ascii="Calibri" w:eastAsia="Calibri" w:hAnsi="Calibri" w:cs="Calibri"/>
      <w:b/>
      <w:bCs/>
      <w:color w:val="000000"/>
      <w:sz w:val="20"/>
      <w:szCs w:val="20"/>
      <w:shd w:val="clear" w:color="auto" w:fill="DBE5F1"/>
      <w:lang w:eastAsia="en-AU"/>
    </w:rPr>
  </w:style>
  <w:style w:type="character" w:customStyle="1" w:styleId="Heading4Char">
    <w:name w:val="Heading 4 Char"/>
    <w:basedOn w:val="DefaultParagraphFont"/>
    <w:link w:val="Heading4"/>
    <w:uiPriority w:val="9"/>
    <w:rsid w:val="0028250C"/>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DA522E"/>
    <w:pPr>
      <w:tabs>
        <w:tab w:val="clear" w:pos="3325"/>
      </w:tabs>
      <w:spacing w:after="0"/>
      <w:ind w:left="660"/>
    </w:pPr>
    <w:rPr>
      <w:rFonts w:cstheme="minorHAnsi"/>
      <w:sz w:val="18"/>
      <w:szCs w:val="18"/>
    </w:rPr>
  </w:style>
  <w:style w:type="paragraph" w:styleId="TOC5">
    <w:name w:val="toc 5"/>
    <w:basedOn w:val="Normal"/>
    <w:next w:val="Normal"/>
    <w:autoRedefine/>
    <w:uiPriority w:val="39"/>
    <w:unhideWhenUsed/>
    <w:rsid w:val="00DA522E"/>
    <w:pPr>
      <w:tabs>
        <w:tab w:val="clear" w:pos="3325"/>
      </w:tabs>
      <w:spacing w:after="0"/>
      <w:ind w:left="880"/>
    </w:pPr>
    <w:rPr>
      <w:rFonts w:cstheme="minorHAnsi"/>
      <w:sz w:val="18"/>
      <w:szCs w:val="18"/>
    </w:rPr>
  </w:style>
  <w:style w:type="paragraph" w:styleId="TOC6">
    <w:name w:val="toc 6"/>
    <w:basedOn w:val="Normal"/>
    <w:next w:val="Normal"/>
    <w:autoRedefine/>
    <w:uiPriority w:val="39"/>
    <w:unhideWhenUsed/>
    <w:rsid w:val="00DA522E"/>
    <w:pPr>
      <w:tabs>
        <w:tab w:val="clear" w:pos="3325"/>
      </w:tabs>
      <w:spacing w:after="0"/>
      <w:ind w:left="1100"/>
    </w:pPr>
    <w:rPr>
      <w:rFonts w:cstheme="minorHAnsi"/>
      <w:sz w:val="18"/>
      <w:szCs w:val="18"/>
    </w:rPr>
  </w:style>
  <w:style w:type="paragraph" w:styleId="TOC7">
    <w:name w:val="toc 7"/>
    <w:basedOn w:val="Normal"/>
    <w:next w:val="Normal"/>
    <w:autoRedefine/>
    <w:uiPriority w:val="39"/>
    <w:unhideWhenUsed/>
    <w:rsid w:val="00DA522E"/>
    <w:pPr>
      <w:tabs>
        <w:tab w:val="clear" w:pos="3325"/>
      </w:tabs>
      <w:spacing w:after="0"/>
      <w:ind w:left="1320"/>
    </w:pPr>
    <w:rPr>
      <w:rFonts w:cstheme="minorHAnsi"/>
      <w:sz w:val="18"/>
      <w:szCs w:val="18"/>
    </w:rPr>
  </w:style>
  <w:style w:type="paragraph" w:styleId="TOC8">
    <w:name w:val="toc 8"/>
    <w:basedOn w:val="Normal"/>
    <w:next w:val="Normal"/>
    <w:autoRedefine/>
    <w:uiPriority w:val="39"/>
    <w:unhideWhenUsed/>
    <w:rsid w:val="00DA522E"/>
    <w:pPr>
      <w:tabs>
        <w:tab w:val="clear" w:pos="3325"/>
      </w:tabs>
      <w:spacing w:after="0"/>
      <w:ind w:left="1540"/>
    </w:pPr>
    <w:rPr>
      <w:rFonts w:cstheme="minorHAnsi"/>
      <w:sz w:val="18"/>
      <w:szCs w:val="18"/>
    </w:rPr>
  </w:style>
  <w:style w:type="paragraph" w:styleId="TOC9">
    <w:name w:val="toc 9"/>
    <w:basedOn w:val="Normal"/>
    <w:next w:val="Normal"/>
    <w:autoRedefine/>
    <w:uiPriority w:val="39"/>
    <w:unhideWhenUsed/>
    <w:rsid w:val="00DA522E"/>
    <w:pPr>
      <w:tabs>
        <w:tab w:val="clear" w:pos="3325"/>
      </w:tabs>
      <w:spacing w:after="0"/>
      <w:ind w:left="1760"/>
    </w:pPr>
    <w:rPr>
      <w:rFonts w:cstheme="minorHAnsi"/>
      <w:sz w:val="18"/>
      <w:szCs w:val="18"/>
    </w:rPr>
  </w:style>
  <w:style w:type="paragraph" w:styleId="Title">
    <w:name w:val="Title"/>
    <w:basedOn w:val="Normal"/>
    <w:next w:val="Normal"/>
    <w:link w:val="TitleChar"/>
    <w:uiPriority w:val="10"/>
    <w:qFormat/>
    <w:rsid w:val="00DA52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22E"/>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A335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5AE"/>
    <w:rPr>
      <w:sz w:val="20"/>
      <w:szCs w:val="20"/>
    </w:rPr>
  </w:style>
  <w:style w:type="character" w:styleId="FootnoteReference">
    <w:name w:val="footnote reference"/>
    <w:basedOn w:val="DefaultParagraphFont"/>
    <w:uiPriority w:val="99"/>
    <w:semiHidden/>
    <w:unhideWhenUsed/>
    <w:rsid w:val="00A335AE"/>
    <w:rPr>
      <w:vertAlign w:val="superscript"/>
    </w:rPr>
  </w:style>
  <w:style w:type="paragraph" w:styleId="EndnoteText">
    <w:name w:val="endnote text"/>
    <w:basedOn w:val="Normal"/>
    <w:link w:val="EndnoteTextChar"/>
    <w:uiPriority w:val="99"/>
    <w:semiHidden/>
    <w:unhideWhenUsed/>
    <w:rsid w:val="001A55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55D0"/>
    <w:rPr>
      <w:sz w:val="20"/>
      <w:szCs w:val="20"/>
    </w:rPr>
  </w:style>
  <w:style w:type="character" w:styleId="EndnoteReference">
    <w:name w:val="endnote reference"/>
    <w:basedOn w:val="DefaultParagraphFont"/>
    <w:uiPriority w:val="99"/>
    <w:semiHidden/>
    <w:unhideWhenUsed/>
    <w:rsid w:val="001A55D0"/>
    <w:rPr>
      <w:vertAlign w:val="superscript"/>
    </w:rPr>
  </w:style>
  <w:style w:type="paragraph" w:styleId="BalloonText">
    <w:name w:val="Balloon Text"/>
    <w:basedOn w:val="Normal"/>
    <w:link w:val="BalloonTextChar"/>
    <w:uiPriority w:val="99"/>
    <w:semiHidden/>
    <w:unhideWhenUsed/>
    <w:rsid w:val="00EF2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94F"/>
    <w:rPr>
      <w:rFonts w:ascii="Segoe UI" w:hAnsi="Segoe UI" w:cs="Segoe UI"/>
      <w:sz w:val="18"/>
      <w:szCs w:val="18"/>
    </w:rPr>
  </w:style>
  <w:style w:type="paragraph" w:styleId="Revision">
    <w:name w:val="Revision"/>
    <w:hidden/>
    <w:uiPriority w:val="99"/>
    <w:semiHidden/>
    <w:rsid w:val="00A15F52"/>
    <w:pPr>
      <w:spacing w:after="0" w:line="240" w:lineRule="auto"/>
    </w:pPr>
  </w:style>
  <w:style w:type="character" w:customStyle="1" w:styleId="Heading5Char">
    <w:name w:val="Heading 5 Char"/>
    <w:basedOn w:val="DefaultParagraphFont"/>
    <w:link w:val="Heading5"/>
    <w:uiPriority w:val="9"/>
    <w:rsid w:val="00FF2BAF"/>
    <w:rPr>
      <w:rFonts w:asciiTheme="majorHAnsi" w:eastAsiaTheme="majorEastAsia" w:hAnsiTheme="majorHAnsi" w:cstheme="majorBidi"/>
      <w:color w:val="2F5496" w:themeColor="accent1" w:themeShade="BF"/>
    </w:rPr>
  </w:style>
  <w:style w:type="paragraph" w:customStyle="1" w:styleId="paragraph">
    <w:name w:val="paragraph"/>
    <w:basedOn w:val="Normal"/>
    <w:rsid w:val="009B32A9"/>
    <w:pPr>
      <w:tabs>
        <w:tab w:val="clear" w:pos="3325"/>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B32A9"/>
  </w:style>
  <w:style w:type="character" w:customStyle="1" w:styleId="eop">
    <w:name w:val="eop"/>
    <w:basedOn w:val="DefaultParagraphFont"/>
    <w:rsid w:val="009B32A9"/>
  </w:style>
  <w:style w:type="table" w:styleId="TableGridLight">
    <w:name w:val="Grid Table Light"/>
    <w:basedOn w:val="TableNormal"/>
    <w:uiPriority w:val="40"/>
    <w:rsid w:val="00907728"/>
    <w:pPr>
      <w:spacing w:after="0" w:line="240" w:lineRule="auto"/>
    </w:pPr>
    <w:rPr>
      <w:rFonts w:eastAsiaTheme="minorEastAsi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1E5DA7"/>
    <w:rPr>
      <w:color w:val="2B579A"/>
      <w:shd w:val="clear" w:color="auto" w:fill="E1DFDD"/>
    </w:rPr>
  </w:style>
  <w:style w:type="character" w:styleId="UnresolvedMention">
    <w:name w:val="Unresolved Mention"/>
    <w:basedOn w:val="DefaultParagraphFont"/>
    <w:uiPriority w:val="99"/>
    <w:semiHidden/>
    <w:unhideWhenUsed/>
    <w:rsid w:val="00597B94"/>
    <w:rPr>
      <w:color w:val="605E5C"/>
      <w:shd w:val="clear" w:color="auto" w:fill="E1DFDD"/>
    </w:rPr>
  </w:style>
  <w:style w:type="table" w:styleId="ListTable4-Accent6">
    <w:name w:val="List Table 4 Accent 6"/>
    <w:basedOn w:val="TableNormal"/>
    <w:uiPriority w:val="49"/>
    <w:rsid w:val="009A663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A674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8704">
      <w:bodyDiv w:val="1"/>
      <w:marLeft w:val="0"/>
      <w:marRight w:val="0"/>
      <w:marTop w:val="0"/>
      <w:marBottom w:val="0"/>
      <w:divBdr>
        <w:top w:val="none" w:sz="0" w:space="0" w:color="auto"/>
        <w:left w:val="none" w:sz="0" w:space="0" w:color="auto"/>
        <w:bottom w:val="none" w:sz="0" w:space="0" w:color="auto"/>
        <w:right w:val="none" w:sz="0" w:space="0" w:color="auto"/>
      </w:divBdr>
    </w:div>
    <w:div w:id="329140794">
      <w:bodyDiv w:val="1"/>
      <w:marLeft w:val="0"/>
      <w:marRight w:val="0"/>
      <w:marTop w:val="0"/>
      <w:marBottom w:val="0"/>
      <w:divBdr>
        <w:top w:val="none" w:sz="0" w:space="0" w:color="auto"/>
        <w:left w:val="none" w:sz="0" w:space="0" w:color="auto"/>
        <w:bottom w:val="none" w:sz="0" w:space="0" w:color="auto"/>
        <w:right w:val="none" w:sz="0" w:space="0" w:color="auto"/>
      </w:divBdr>
    </w:div>
    <w:div w:id="338700219">
      <w:bodyDiv w:val="1"/>
      <w:marLeft w:val="0"/>
      <w:marRight w:val="0"/>
      <w:marTop w:val="0"/>
      <w:marBottom w:val="0"/>
      <w:divBdr>
        <w:top w:val="none" w:sz="0" w:space="0" w:color="auto"/>
        <w:left w:val="none" w:sz="0" w:space="0" w:color="auto"/>
        <w:bottom w:val="none" w:sz="0" w:space="0" w:color="auto"/>
        <w:right w:val="none" w:sz="0" w:space="0" w:color="auto"/>
      </w:divBdr>
    </w:div>
    <w:div w:id="370495772">
      <w:bodyDiv w:val="1"/>
      <w:marLeft w:val="0"/>
      <w:marRight w:val="0"/>
      <w:marTop w:val="0"/>
      <w:marBottom w:val="0"/>
      <w:divBdr>
        <w:top w:val="none" w:sz="0" w:space="0" w:color="auto"/>
        <w:left w:val="none" w:sz="0" w:space="0" w:color="auto"/>
        <w:bottom w:val="none" w:sz="0" w:space="0" w:color="auto"/>
        <w:right w:val="none" w:sz="0" w:space="0" w:color="auto"/>
      </w:divBdr>
    </w:div>
    <w:div w:id="999194206">
      <w:bodyDiv w:val="1"/>
      <w:marLeft w:val="0"/>
      <w:marRight w:val="0"/>
      <w:marTop w:val="0"/>
      <w:marBottom w:val="0"/>
      <w:divBdr>
        <w:top w:val="none" w:sz="0" w:space="0" w:color="auto"/>
        <w:left w:val="none" w:sz="0" w:space="0" w:color="auto"/>
        <w:bottom w:val="none" w:sz="0" w:space="0" w:color="auto"/>
        <w:right w:val="none" w:sz="0" w:space="0" w:color="auto"/>
      </w:divBdr>
    </w:div>
    <w:div w:id="1663965078">
      <w:bodyDiv w:val="1"/>
      <w:marLeft w:val="0"/>
      <w:marRight w:val="0"/>
      <w:marTop w:val="0"/>
      <w:marBottom w:val="0"/>
      <w:divBdr>
        <w:top w:val="none" w:sz="0" w:space="0" w:color="auto"/>
        <w:left w:val="none" w:sz="0" w:space="0" w:color="auto"/>
        <w:bottom w:val="none" w:sz="0" w:space="0" w:color="auto"/>
        <w:right w:val="none" w:sz="0" w:space="0" w:color="auto"/>
      </w:divBdr>
    </w:div>
    <w:div w:id="16865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tradesrecognitionaustrali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inance.gov.au/" TargetMode="External"/><Relationship Id="rId2" Type="http://schemas.openxmlformats.org/officeDocument/2006/relationships/hyperlink" Target="http://www.finance.gov.au/" TargetMode="External"/><Relationship Id="rId1" Type="http://schemas.openxmlformats.org/officeDocument/2006/relationships/hyperlink" Target="http://www.finance.gov.au/" TargetMode="External"/><Relationship Id="rId4" Type="http://schemas.openxmlformats.org/officeDocument/2006/relationships/hyperlink" Target="https://www.legislation.gov.au/F2023L00320/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9A0C467804574A965A8FDC05F05E31" ma:contentTypeVersion="8" ma:contentTypeDescription="Create a new document." ma:contentTypeScope="" ma:versionID="db8e39edecdbfd42527579e2bf6e5219">
  <xsd:schema xmlns:xsd="http://www.w3.org/2001/XMLSchema" xmlns:xs="http://www.w3.org/2001/XMLSchema" xmlns:p="http://schemas.microsoft.com/office/2006/metadata/properties" xmlns:ns2="ce13564c-0f31-48ff-b5ef-4278130f5e5d" targetNamespace="http://schemas.microsoft.com/office/2006/metadata/properties" ma:root="true" ma:fieldsID="f06e0ecca8741eb91d8374417b1e1f0a" ns2:_="">
    <xsd:import namespace="ce13564c-0f31-48ff-b5ef-4278130f5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3564c-0f31-48ff-b5ef-4278130f5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60B5E-C706-45FE-83E2-CD9A51035BB3}">
  <ds:schemaRefs>
    <ds:schemaRef ds:uri="http://schemas.microsoft.com/sharepoint/v3/contenttype/forms"/>
  </ds:schemaRefs>
</ds:datastoreItem>
</file>

<file path=customXml/itemProps2.xml><?xml version="1.0" encoding="utf-8"?>
<ds:datastoreItem xmlns:ds="http://schemas.openxmlformats.org/officeDocument/2006/customXml" ds:itemID="{49B770BB-EAF4-4FB0-BCD7-94A63F52EB29}">
  <ds:schemaRefs>
    <ds:schemaRef ds:uri="http://schemas.openxmlformats.org/officeDocument/2006/bibliography"/>
  </ds:schemaRefs>
</ds:datastoreItem>
</file>

<file path=customXml/itemProps3.xml><?xml version="1.0" encoding="utf-8"?>
<ds:datastoreItem xmlns:ds="http://schemas.openxmlformats.org/officeDocument/2006/customXml" ds:itemID="{5ED306CB-7345-4F34-BCC8-F01DDB32667C}">
  <ds:schemaRefs>
    <ds:schemaRef ds:uri="http://schemas.microsoft.com/office/2006/metadata/properties"/>
    <ds:schemaRef ds:uri="http://schemas.microsoft.com/office/infopath/2007/PartnerControls"/>
    <ds:schemaRef ds:uri="1F360C2F-6CEB-4C77-BFD8-D21E4512D49F"/>
  </ds:schemaRefs>
</ds:datastoreItem>
</file>

<file path=customXml/itemProps4.xml><?xml version="1.0" encoding="utf-8"?>
<ds:datastoreItem xmlns:ds="http://schemas.openxmlformats.org/officeDocument/2006/customXml" ds:itemID="{F6188D58-DD66-4B56-B8B6-AE15C6933AF4}"/>
</file>

<file path=docProps/app.xml><?xml version="1.0" encoding="utf-8"?>
<Properties xmlns="http://schemas.openxmlformats.org/officeDocument/2006/extended-properties" xmlns:vt="http://schemas.openxmlformats.org/officeDocument/2006/docPropsVTypes">
  <Template>Normal.dotm</Template>
  <TotalTime>1452</TotalTime>
  <Pages>1</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32464</CharactersWithSpaces>
  <SharedDoc>false</SharedDoc>
  <HLinks>
    <vt:vector size="228" baseType="variant">
      <vt:variant>
        <vt:i4>5242967</vt:i4>
      </vt:variant>
      <vt:variant>
        <vt:i4>201</vt:i4>
      </vt:variant>
      <vt:variant>
        <vt:i4>0</vt:i4>
      </vt:variant>
      <vt:variant>
        <vt:i4>5</vt:i4>
      </vt:variant>
      <vt:variant>
        <vt:lpwstr>http://www.tradesrecognitionaustralia.gov.au/</vt:lpwstr>
      </vt:variant>
      <vt:variant>
        <vt:lpwstr/>
      </vt:variant>
      <vt:variant>
        <vt:i4>1114160</vt:i4>
      </vt:variant>
      <vt:variant>
        <vt:i4>194</vt:i4>
      </vt:variant>
      <vt:variant>
        <vt:i4>0</vt:i4>
      </vt:variant>
      <vt:variant>
        <vt:i4>5</vt:i4>
      </vt:variant>
      <vt:variant>
        <vt:lpwstr/>
      </vt:variant>
      <vt:variant>
        <vt:lpwstr>_Toc197608615</vt:lpwstr>
      </vt:variant>
      <vt:variant>
        <vt:i4>1114160</vt:i4>
      </vt:variant>
      <vt:variant>
        <vt:i4>188</vt:i4>
      </vt:variant>
      <vt:variant>
        <vt:i4>0</vt:i4>
      </vt:variant>
      <vt:variant>
        <vt:i4>5</vt:i4>
      </vt:variant>
      <vt:variant>
        <vt:lpwstr/>
      </vt:variant>
      <vt:variant>
        <vt:lpwstr>_Toc197608614</vt:lpwstr>
      </vt:variant>
      <vt:variant>
        <vt:i4>1114160</vt:i4>
      </vt:variant>
      <vt:variant>
        <vt:i4>182</vt:i4>
      </vt:variant>
      <vt:variant>
        <vt:i4>0</vt:i4>
      </vt:variant>
      <vt:variant>
        <vt:i4>5</vt:i4>
      </vt:variant>
      <vt:variant>
        <vt:lpwstr/>
      </vt:variant>
      <vt:variant>
        <vt:lpwstr>_Toc197608613</vt:lpwstr>
      </vt:variant>
      <vt:variant>
        <vt:i4>1114160</vt:i4>
      </vt:variant>
      <vt:variant>
        <vt:i4>176</vt:i4>
      </vt:variant>
      <vt:variant>
        <vt:i4>0</vt:i4>
      </vt:variant>
      <vt:variant>
        <vt:i4>5</vt:i4>
      </vt:variant>
      <vt:variant>
        <vt:lpwstr/>
      </vt:variant>
      <vt:variant>
        <vt:lpwstr>_Toc197608612</vt:lpwstr>
      </vt:variant>
      <vt:variant>
        <vt:i4>1114160</vt:i4>
      </vt:variant>
      <vt:variant>
        <vt:i4>170</vt:i4>
      </vt:variant>
      <vt:variant>
        <vt:i4>0</vt:i4>
      </vt:variant>
      <vt:variant>
        <vt:i4>5</vt:i4>
      </vt:variant>
      <vt:variant>
        <vt:lpwstr/>
      </vt:variant>
      <vt:variant>
        <vt:lpwstr>_Toc197608611</vt:lpwstr>
      </vt:variant>
      <vt:variant>
        <vt:i4>1114160</vt:i4>
      </vt:variant>
      <vt:variant>
        <vt:i4>164</vt:i4>
      </vt:variant>
      <vt:variant>
        <vt:i4>0</vt:i4>
      </vt:variant>
      <vt:variant>
        <vt:i4>5</vt:i4>
      </vt:variant>
      <vt:variant>
        <vt:lpwstr/>
      </vt:variant>
      <vt:variant>
        <vt:lpwstr>_Toc197608610</vt:lpwstr>
      </vt:variant>
      <vt:variant>
        <vt:i4>1048624</vt:i4>
      </vt:variant>
      <vt:variant>
        <vt:i4>158</vt:i4>
      </vt:variant>
      <vt:variant>
        <vt:i4>0</vt:i4>
      </vt:variant>
      <vt:variant>
        <vt:i4>5</vt:i4>
      </vt:variant>
      <vt:variant>
        <vt:lpwstr/>
      </vt:variant>
      <vt:variant>
        <vt:lpwstr>_Toc197608609</vt:lpwstr>
      </vt:variant>
      <vt:variant>
        <vt:i4>1048624</vt:i4>
      </vt:variant>
      <vt:variant>
        <vt:i4>152</vt:i4>
      </vt:variant>
      <vt:variant>
        <vt:i4>0</vt:i4>
      </vt:variant>
      <vt:variant>
        <vt:i4>5</vt:i4>
      </vt:variant>
      <vt:variant>
        <vt:lpwstr/>
      </vt:variant>
      <vt:variant>
        <vt:lpwstr>_Toc197608608</vt:lpwstr>
      </vt:variant>
      <vt:variant>
        <vt:i4>1048624</vt:i4>
      </vt:variant>
      <vt:variant>
        <vt:i4>146</vt:i4>
      </vt:variant>
      <vt:variant>
        <vt:i4>0</vt:i4>
      </vt:variant>
      <vt:variant>
        <vt:i4>5</vt:i4>
      </vt:variant>
      <vt:variant>
        <vt:lpwstr/>
      </vt:variant>
      <vt:variant>
        <vt:lpwstr>_Toc197608607</vt:lpwstr>
      </vt:variant>
      <vt:variant>
        <vt:i4>1048624</vt:i4>
      </vt:variant>
      <vt:variant>
        <vt:i4>140</vt:i4>
      </vt:variant>
      <vt:variant>
        <vt:i4>0</vt:i4>
      </vt:variant>
      <vt:variant>
        <vt:i4>5</vt:i4>
      </vt:variant>
      <vt:variant>
        <vt:lpwstr/>
      </vt:variant>
      <vt:variant>
        <vt:lpwstr>_Toc197608606</vt:lpwstr>
      </vt:variant>
      <vt:variant>
        <vt:i4>1048624</vt:i4>
      </vt:variant>
      <vt:variant>
        <vt:i4>134</vt:i4>
      </vt:variant>
      <vt:variant>
        <vt:i4>0</vt:i4>
      </vt:variant>
      <vt:variant>
        <vt:i4>5</vt:i4>
      </vt:variant>
      <vt:variant>
        <vt:lpwstr/>
      </vt:variant>
      <vt:variant>
        <vt:lpwstr>_Toc197608605</vt:lpwstr>
      </vt:variant>
      <vt:variant>
        <vt:i4>1048624</vt:i4>
      </vt:variant>
      <vt:variant>
        <vt:i4>128</vt:i4>
      </vt:variant>
      <vt:variant>
        <vt:i4>0</vt:i4>
      </vt:variant>
      <vt:variant>
        <vt:i4>5</vt:i4>
      </vt:variant>
      <vt:variant>
        <vt:lpwstr/>
      </vt:variant>
      <vt:variant>
        <vt:lpwstr>_Toc197608604</vt:lpwstr>
      </vt:variant>
      <vt:variant>
        <vt:i4>1048624</vt:i4>
      </vt:variant>
      <vt:variant>
        <vt:i4>122</vt:i4>
      </vt:variant>
      <vt:variant>
        <vt:i4>0</vt:i4>
      </vt:variant>
      <vt:variant>
        <vt:i4>5</vt:i4>
      </vt:variant>
      <vt:variant>
        <vt:lpwstr/>
      </vt:variant>
      <vt:variant>
        <vt:lpwstr>_Toc197608603</vt:lpwstr>
      </vt:variant>
      <vt:variant>
        <vt:i4>1048624</vt:i4>
      </vt:variant>
      <vt:variant>
        <vt:i4>116</vt:i4>
      </vt:variant>
      <vt:variant>
        <vt:i4>0</vt:i4>
      </vt:variant>
      <vt:variant>
        <vt:i4>5</vt:i4>
      </vt:variant>
      <vt:variant>
        <vt:lpwstr/>
      </vt:variant>
      <vt:variant>
        <vt:lpwstr>_Toc197608602</vt:lpwstr>
      </vt:variant>
      <vt:variant>
        <vt:i4>1048624</vt:i4>
      </vt:variant>
      <vt:variant>
        <vt:i4>110</vt:i4>
      </vt:variant>
      <vt:variant>
        <vt:i4>0</vt:i4>
      </vt:variant>
      <vt:variant>
        <vt:i4>5</vt:i4>
      </vt:variant>
      <vt:variant>
        <vt:lpwstr/>
      </vt:variant>
      <vt:variant>
        <vt:lpwstr>_Toc197608601</vt:lpwstr>
      </vt:variant>
      <vt:variant>
        <vt:i4>1048624</vt:i4>
      </vt:variant>
      <vt:variant>
        <vt:i4>104</vt:i4>
      </vt:variant>
      <vt:variant>
        <vt:i4>0</vt:i4>
      </vt:variant>
      <vt:variant>
        <vt:i4>5</vt:i4>
      </vt:variant>
      <vt:variant>
        <vt:lpwstr/>
      </vt:variant>
      <vt:variant>
        <vt:lpwstr>_Toc197608600</vt:lpwstr>
      </vt:variant>
      <vt:variant>
        <vt:i4>1638451</vt:i4>
      </vt:variant>
      <vt:variant>
        <vt:i4>98</vt:i4>
      </vt:variant>
      <vt:variant>
        <vt:i4>0</vt:i4>
      </vt:variant>
      <vt:variant>
        <vt:i4>5</vt:i4>
      </vt:variant>
      <vt:variant>
        <vt:lpwstr/>
      </vt:variant>
      <vt:variant>
        <vt:lpwstr>_Toc197608599</vt:lpwstr>
      </vt:variant>
      <vt:variant>
        <vt:i4>1638451</vt:i4>
      </vt:variant>
      <vt:variant>
        <vt:i4>92</vt:i4>
      </vt:variant>
      <vt:variant>
        <vt:i4>0</vt:i4>
      </vt:variant>
      <vt:variant>
        <vt:i4>5</vt:i4>
      </vt:variant>
      <vt:variant>
        <vt:lpwstr/>
      </vt:variant>
      <vt:variant>
        <vt:lpwstr>_Toc197608598</vt:lpwstr>
      </vt:variant>
      <vt:variant>
        <vt:i4>1638451</vt:i4>
      </vt:variant>
      <vt:variant>
        <vt:i4>86</vt:i4>
      </vt:variant>
      <vt:variant>
        <vt:i4>0</vt:i4>
      </vt:variant>
      <vt:variant>
        <vt:i4>5</vt:i4>
      </vt:variant>
      <vt:variant>
        <vt:lpwstr/>
      </vt:variant>
      <vt:variant>
        <vt:lpwstr>_Toc197608597</vt:lpwstr>
      </vt:variant>
      <vt:variant>
        <vt:i4>1638451</vt:i4>
      </vt:variant>
      <vt:variant>
        <vt:i4>80</vt:i4>
      </vt:variant>
      <vt:variant>
        <vt:i4>0</vt:i4>
      </vt:variant>
      <vt:variant>
        <vt:i4>5</vt:i4>
      </vt:variant>
      <vt:variant>
        <vt:lpwstr/>
      </vt:variant>
      <vt:variant>
        <vt:lpwstr>_Toc197608596</vt:lpwstr>
      </vt:variant>
      <vt:variant>
        <vt:i4>1638451</vt:i4>
      </vt:variant>
      <vt:variant>
        <vt:i4>74</vt:i4>
      </vt:variant>
      <vt:variant>
        <vt:i4>0</vt:i4>
      </vt:variant>
      <vt:variant>
        <vt:i4>5</vt:i4>
      </vt:variant>
      <vt:variant>
        <vt:lpwstr/>
      </vt:variant>
      <vt:variant>
        <vt:lpwstr>_Toc197608595</vt:lpwstr>
      </vt:variant>
      <vt:variant>
        <vt:i4>1638451</vt:i4>
      </vt:variant>
      <vt:variant>
        <vt:i4>68</vt:i4>
      </vt:variant>
      <vt:variant>
        <vt:i4>0</vt:i4>
      </vt:variant>
      <vt:variant>
        <vt:i4>5</vt:i4>
      </vt:variant>
      <vt:variant>
        <vt:lpwstr/>
      </vt:variant>
      <vt:variant>
        <vt:lpwstr>_Toc197608594</vt:lpwstr>
      </vt:variant>
      <vt:variant>
        <vt:i4>1638451</vt:i4>
      </vt:variant>
      <vt:variant>
        <vt:i4>62</vt:i4>
      </vt:variant>
      <vt:variant>
        <vt:i4>0</vt:i4>
      </vt:variant>
      <vt:variant>
        <vt:i4>5</vt:i4>
      </vt:variant>
      <vt:variant>
        <vt:lpwstr/>
      </vt:variant>
      <vt:variant>
        <vt:lpwstr>_Toc197608593</vt:lpwstr>
      </vt:variant>
      <vt:variant>
        <vt:i4>1638451</vt:i4>
      </vt:variant>
      <vt:variant>
        <vt:i4>56</vt:i4>
      </vt:variant>
      <vt:variant>
        <vt:i4>0</vt:i4>
      </vt:variant>
      <vt:variant>
        <vt:i4>5</vt:i4>
      </vt:variant>
      <vt:variant>
        <vt:lpwstr/>
      </vt:variant>
      <vt:variant>
        <vt:lpwstr>_Toc197608592</vt:lpwstr>
      </vt:variant>
      <vt:variant>
        <vt:i4>1638451</vt:i4>
      </vt:variant>
      <vt:variant>
        <vt:i4>50</vt:i4>
      </vt:variant>
      <vt:variant>
        <vt:i4>0</vt:i4>
      </vt:variant>
      <vt:variant>
        <vt:i4>5</vt:i4>
      </vt:variant>
      <vt:variant>
        <vt:lpwstr/>
      </vt:variant>
      <vt:variant>
        <vt:lpwstr>_Toc197608591</vt:lpwstr>
      </vt:variant>
      <vt:variant>
        <vt:i4>1638451</vt:i4>
      </vt:variant>
      <vt:variant>
        <vt:i4>44</vt:i4>
      </vt:variant>
      <vt:variant>
        <vt:i4>0</vt:i4>
      </vt:variant>
      <vt:variant>
        <vt:i4>5</vt:i4>
      </vt:variant>
      <vt:variant>
        <vt:lpwstr/>
      </vt:variant>
      <vt:variant>
        <vt:lpwstr>_Toc197608590</vt:lpwstr>
      </vt:variant>
      <vt:variant>
        <vt:i4>1572915</vt:i4>
      </vt:variant>
      <vt:variant>
        <vt:i4>38</vt:i4>
      </vt:variant>
      <vt:variant>
        <vt:i4>0</vt:i4>
      </vt:variant>
      <vt:variant>
        <vt:i4>5</vt:i4>
      </vt:variant>
      <vt:variant>
        <vt:lpwstr/>
      </vt:variant>
      <vt:variant>
        <vt:lpwstr>_Toc197608589</vt:lpwstr>
      </vt:variant>
      <vt:variant>
        <vt:i4>1572915</vt:i4>
      </vt:variant>
      <vt:variant>
        <vt:i4>32</vt:i4>
      </vt:variant>
      <vt:variant>
        <vt:i4>0</vt:i4>
      </vt:variant>
      <vt:variant>
        <vt:i4>5</vt:i4>
      </vt:variant>
      <vt:variant>
        <vt:lpwstr/>
      </vt:variant>
      <vt:variant>
        <vt:lpwstr>_Toc197608588</vt:lpwstr>
      </vt:variant>
      <vt:variant>
        <vt:i4>1572915</vt:i4>
      </vt:variant>
      <vt:variant>
        <vt:i4>26</vt:i4>
      </vt:variant>
      <vt:variant>
        <vt:i4>0</vt:i4>
      </vt:variant>
      <vt:variant>
        <vt:i4>5</vt:i4>
      </vt:variant>
      <vt:variant>
        <vt:lpwstr/>
      </vt:variant>
      <vt:variant>
        <vt:lpwstr>_Toc197608587</vt:lpwstr>
      </vt:variant>
      <vt:variant>
        <vt:i4>1572915</vt:i4>
      </vt:variant>
      <vt:variant>
        <vt:i4>20</vt:i4>
      </vt:variant>
      <vt:variant>
        <vt:i4>0</vt:i4>
      </vt:variant>
      <vt:variant>
        <vt:i4>5</vt:i4>
      </vt:variant>
      <vt:variant>
        <vt:lpwstr/>
      </vt:variant>
      <vt:variant>
        <vt:lpwstr>_Toc197608586</vt:lpwstr>
      </vt:variant>
      <vt:variant>
        <vt:i4>1572915</vt:i4>
      </vt:variant>
      <vt:variant>
        <vt:i4>14</vt:i4>
      </vt:variant>
      <vt:variant>
        <vt:i4>0</vt:i4>
      </vt:variant>
      <vt:variant>
        <vt:i4>5</vt:i4>
      </vt:variant>
      <vt:variant>
        <vt:lpwstr/>
      </vt:variant>
      <vt:variant>
        <vt:lpwstr>_Toc197608585</vt:lpwstr>
      </vt:variant>
      <vt:variant>
        <vt:i4>1572915</vt:i4>
      </vt:variant>
      <vt:variant>
        <vt:i4>8</vt:i4>
      </vt:variant>
      <vt:variant>
        <vt:i4>0</vt:i4>
      </vt:variant>
      <vt:variant>
        <vt:i4>5</vt:i4>
      </vt:variant>
      <vt:variant>
        <vt:lpwstr/>
      </vt:variant>
      <vt:variant>
        <vt:lpwstr>_Toc197608584</vt:lpwstr>
      </vt:variant>
      <vt:variant>
        <vt:i4>1572915</vt:i4>
      </vt:variant>
      <vt:variant>
        <vt:i4>2</vt:i4>
      </vt:variant>
      <vt:variant>
        <vt:i4>0</vt:i4>
      </vt:variant>
      <vt:variant>
        <vt:i4>5</vt:i4>
      </vt:variant>
      <vt:variant>
        <vt:lpwstr/>
      </vt:variant>
      <vt:variant>
        <vt:lpwstr>_Toc197608583</vt:lpwstr>
      </vt:variant>
      <vt:variant>
        <vt:i4>2752572</vt:i4>
      </vt:variant>
      <vt:variant>
        <vt:i4>9</vt:i4>
      </vt:variant>
      <vt:variant>
        <vt:i4>0</vt:i4>
      </vt:variant>
      <vt:variant>
        <vt:i4>5</vt:i4>
      </vt:variant>
      <vt:variant>
        <vt:lpwstr>https://www.legislation.gov.au/F2023L00320/latest/text</vt:lpwstr>
      </vt:variant>
      <vt:variant>
        <vt:lpwstr/>
      </vt:variant>
      <vt:variant>
        <vt:i4>7798817</vt:i4>
      </vt:variant>
      <vt:variant>
        <vt:i4>6</vt:i4>
      </vt:variant>
      <vt:variant>
        <vt:i4>0</vt:i4>
      </vt:variant>
      <vt:variant>
        <vt:i4>5</vt:i4>
      </vt:variant>
      <vt:variant>
        <vt:lpwstr>http://www.finance.gov.au/</vt:lpwstr>
      </vt:variant>
      <vt:variant>
        <vt:lpwstr/>
      </vt:variant>
      <vt:variant>
        <vt:i4>7798817</vt:i4>
      </vt:variant>
      <vt:variant>
        <vt:i4>3</vt:i4>
      </vt:variant>
      <vt:variant>
        <vt:i4>0</vt:i4>
      </vt:variant>
      <vt:variant>
        <vt:i4>5</vt:i4>
      </vt:variant>
      <vt:variant>
        <vt:lpwstr>http://www.finance.gov.au/</vt:lpwstr>
      </vt:variant>
      <vt:variant>
        <vt:lpwstr/>
      </vt:variant>
      <vt:variant>
        <vt:i4>7798817</vt:i4>
      </vt:variant>
      <vt:variant>
        <vt:i4>0</vt:i4>
      </vt:variant>
      <vt:variant>
        <vt:i4>0</vt:i4>
      </vt:variant>
      <vt:variant>
        <vt:i4>5</vt:i4>
      </vt:variant>
      <vt:variant>
        <vt:lpwstr>http://www.finance.gov.au/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HAMILTON,Martin</dc:creator>
  <cp:keywords/>
  <dc:description/>
  <cp:lastModifiedBy>WALKER,Lee</cp:lastModifiedBy>
  <cp:revision>55</cp:revision>
  <cp:lastPrinted>2025-09-03T01:59:00Z</cp:lastPrinted>
  <dcterms:created xsi:type="dcterms:W3CDTF">2025-03-05T16:32:00Z</dcterms:created>
  <dcterms:modified xsi:type="dcterms:W3CDTF">2025-09-03T01:59:00Z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2022-07-06T04:47:22Z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3d6d0496-329d-4abb-a8f4-bf6347a7cda7</vt:lpwstr>
  </property>
  <property fmtid="{D5CDD505-2E9C-101B-9397-08002B2CF9AE}" pid="8" name="MSIP_Label_79d889eb-932f-4752-8739-64d25806ef64_ContentBits">
    <vt:lpwstr>0</vt:lpwstr>
  </property>
  <property fmtid="{D5CDD505-2E9C-101B-9397-08002B2CF9AE}" pid="9" name="TaxKeyword">
    <vt:lpwstr/>
  </property>
  <property fmtid="{D5CDD505-2E9C-101B-9397-08002B2CF9AE}" pid="10" name="AbtEntity">
    <vt:lpwstr>1;#Department of Finance|fd660e8f-8f31-49bd-92a3-d31d4da31afe</vt:lpwstr>
  </property>
  <property fmtid="{D5CDD505-2E9C-101B-9397-08002B2CF9AE}" pid="11" name="ContentTypeId">
    <vt:lpwstr>0x010100F29A0C467804574A965A8FDC05F05E31</vt:lpwstr>
  </property>
  <property fmtid="{D5CDD505-2E9C-101B-9397-08002B2CF9AE}" pid="12" name="Function and Activity">
    <vt:lpwstr/>
  </property>
  <property fmtid="{D5CDD505-2E9C-101B-9397-08002B2CF9AE}" pid="13" name="OrgUnit">
    <vt:lpwstr>2;#Charging Policy|cbcf5b89-4aab-4c5d-ba02-041c19cdb5b1</vt:lpwstr>
  </property>
  <property fmtid="{D5CDD505-2E9C-101B-9397-08002B2CF9AE}" pid="14" name="_dlc_DocIdItemGuid">
    <vt:lpwstr>319f5cdc-b0e6-4021-ac7e-8171e68fbdf5</vt:lpwstr>
  </property>
  <property fmtid="{D5CDD505-2E9C-101B-9397-08002B2CF9AE}" pid="15" name="InitiatingEntity">
    <vt:lpwstr>1;#Department of Finance|fd660e8f-8f31-49bd-92a3-d31d4da31afe</vt:lpwstr>
  </property>
  <property fmtid="{D5CDD505-2E9C-101B-9397-08002B2CF9AE}" pid="16" name="MediaServiceImageTags">
    <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